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F43" w:rsidRDefault="00C0044E">
      <w:pPr>
        <w:spacing w:before="36" w:line="289" w:lineRule="exact"/>
        <w:ind w:right="2"/>
        <w:jc w:val="center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  <w:r>
        <w:pict>
          <v:group id="_x0000_s1026" style="position:absolute;left:0;text-align:left;margin-left:-.4pt;margin-top:-.4pt;width:.75pt;height:.75pt;z-index:-251643904;mso-position-horizontal-relative:page;mso-position-vertical-relative:page" coordorigin="-8,-8" coordsize="15,15">
            <v:group id="_x0000_s1053" style="position:absolute;width:2;height:2" coordsize="2,2">
              <v:shape id="_x0000_s1054" style="position:absolute;width:2;height:2" coordsize="0,0" path="m,l,xe" fillcolor="black" stroked="f">
                <v:path arrowok="t"/>
              </v:shape>
            </v:group>
            <v:group id="_x0000_s1051" style="position:absolute;width:2;height:2" coordsize="2,2">
              <v:shape id="_x0000_s1052" style="position:absolute;width:2;height:2" coordsize="0,0" path="m,l,xe" fillcolor="black" stroked="f">
                <v:path arrowok="t"/>
              </v:shape>
            </v:group>
            <v:group id="_x0000_s1049" style="position:absolute;width:2;height:2" coordsize="2,2">
              <v:shape id="_x0000_s1050" style="position:absolute;width:2;height:2" coordsize="0,0" path="m,l,xe" fillcolor="black" stroked="f">
                <v:path arrowok="t"/>
              </v:shape>
            </v:group>
            <v:group id="_x0000_s1047" style="position:absolute;width:2;height:2" coordsize="2,2">
              <v:shape id="_x0000_s1048" style="position:absolute;width:2;height:2" coordsize="0,0" path="m,l,xe" fillcolor="black" stroked="f">
                <v:path arrowok="t"/>
              </v:shape>
            </v:group>
            <v:group id="_x0000_s1045" style="position:absolute;width:2;height:2" coordsize="2,2">
              <v:shape id="_x0000_s1046" style="position:absolute;width:2;height:2" coordsize="0,0" path="m,l,xe" fillcolor="black" stroked="f">
                <v:path arrowok="t"/>
              </v:shape>
            </v:group>
            <v:group id="_x0000_s1043" style="position:absolute;width:2;height:2" coordsize="2,2">
              <v:shape id="_x0000_s1044" style="position:absolute;width:2;height:2" coordsize="0,0" path="m,l,xe" fillcolor="black" stroked="f">
                <v:path arrowok="t"/>
              </v:shape>
            </v:group>
            <v:group id="_x0000_s1041" style="position:absolute;width:2;height:2" coordsize="2,2">
              <v:shape id="_x0000_s1042" style="position:absolute;width:2;height:2" coordsize="0,0" path="m,l,xe" fillcolor="black" stroked="f">
                <v:path arrowok="t"/>
              </v:shape>
            </v:group>
            <v:group id="_x0000_s1039" style="position:absolute;width:2;height:2" coordsize="2,2">
              <v:shape id="_x0000_s1040" style="position:absolute;width:2;height:2" coordsize="0,0" path="m,l,xe" fillcolor="black" stroked="f">
                <v:path arrowok="t"/>
              </v:shape>
            </v:group>
            <v:group id="_x0000_s1037" style="position:absolute;width:2;height:2" coordsize="2,2">
              <v:shape id="_x0000_s1038" style="position:absolute;width:2;height:2" coordsize="0,0" path="m,l,xe" fillcolor="black" stroked="f">
                <v:path arrowok="t"/>
              </v:shape>
            </v:group>
            <v:group id="_x0000_s1035" style="position:absolute;width:2;height:2" coordsize="2,2">
              <v:shape id="_x0000_s1036" style="position:absolute;width:2;height:2" coordsize="0,0" path="m,l,xe" fillcolor="black" stroked="f">
                <v:path arrowok="t"/>
              </v:shape>
            </v:group>
            <v:group id="_x0000_s1033" style="position:absolute;width:2;height:2" coordsize="2,2">
              <v:shape id="_x0000_s1034" style="position:absolute;width:2;height:2" coordsize="0,0" path="m,l,xe" fillcolor="black" stroked="f">
                <v:path arrowok="t"/>
              </v:shape>
            </v:group>
            <v:group id="_x0000_s1031" style="position:absolute;width:2;height:2" coordsize="2,2">
              <v:shape id="_x0000_s1032" style="position:absolute;width:2;height:2" coordsize="0,0" path="m,l,xe" fillcolor="black" stroked="f">
                <v:path arrowok="t"/>
              </v:shape>
            </v:group>
            <v:group id="_x0000_s1029" style="position:absolute;width:2;height:2" coordsize="2,2">
              <v:shape id="_x0000_s1030" style="position:absolute;width:2;height:2" coordsize="0,0" path="m,l,xe" fillcolor="black" stroked="f">
                <v:path arrowok="t"/>
              </v:shape>
            </v:group>
            <v:group id="_x0000_s1027" style="position:absolute;width:2;height:2" coordsize="2,2">
              <v:shape id="_x0000_s1028" style="position:absolute;width:2;height:2" coordsize="0,0" path="m,l,xe" fillcolor="black" stroked="f">
                <v:path arrowok="t"/>
              </v:shape>
            </v:group>
            <w10:wrap anchorx="page" anchory="page"/>
          </v:group>
        </w:pict>
      </w:r>
      <w:r>
        <w:rPr>
          <w:rFonts w:ascii="Calibri" w:hAnsi="Calibri"/>
          <w:b/>
          <w:bCs/>
          <w:sz w:val="24"/>
          <w:szCs w:val="24"/>
        </w:rPr>
        <w:t>Права арендатора по залоговым депозитам</w:t>
      </w:r>
    </w:p>
    <w:p w:rsidR="00944F43" w:rsidRDefault="00C0044E">
      <w:pPr>
        <w:pStyle w:val="BodyText"/>
        <w:spacing w:before="2" w:line="233" w:lineRule="auto"/>
        <w:ind w:left="3370" w:right="3373" w:firstLine="0"/>
        <w:jc w:val="center"/>
      </w:pPr>
      <w:r>
        <w:t>Uptown People's Law Centre. Обновлено: март, 2020</w:t>
      </w:r>
    </w:p>
    <w:p w:rsidR="00944F43" w:rsidRDefault="00944F43">
      <w:pPr>
        <w:spacing w:before="18" w:line="260" w:lineRule="exact"/>
        <w:rPr>
          <w:sz w:val="26"/>
          <w:szCs w:val="26"/>
        </w:rPr>
      </w:pPr>
    </w:p>
    <w:p w:rsidR="00944F43" w:rsidRDefault="00C0044E">
      <w:pPr>
        <w:pStyle w:val="BodyText"/>
        <w:spacing w:line="286" w:lineRule="exact"/>
        <w:ind w:left="100" w:right="191" w:firstLine="0"/>
      </w:pPr>
      <w:r>
        <w:rPr>
          <w:b/>
        </w:rPr>
        <w:t xml:space="preserve">Местное право: </w:t>
      </w:r>
      <w:r>
        <w:t>Закон о жилье Чикаго об арендодателе и арендаторе (CRLTO) распространяется на залоговый депозит (но не на кооперативы или занимаемые владельцами здания из 6 или менее жилых единиц; о кооперативах - в законе об аренде).</w:t>
      </w:r>
    </w:p>
    <w:p w:rsidR="00944F43" w:rsidRDefault="00944F43">
      <w:pPr>
        <w:spacing w:before="4" w:line="280" w:lineRule="exact"/>
        <w:rPr>
          <w:sz w:val="28"/>
          <w:szCs w:val="28"/>
        </w:rPr>
      </w:pPr>
    </w:p>
    <w:p w:rsidR="00944F43" w:rsidRDefault="00C0044E">
      <w:pPr>
        <w:spacing w:line="286" w:lineRule="exact"/>
        <w:ind w:left="100" w:right="289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Арендодатели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должны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хранить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все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зало</w:t>
      </w:r>
      <w:r>
        <w:rPr>
          <w:rFonts w:ascii="Calibri"/>
          <w:b/>
          <w:sz w:val="24"/>
        </w:rPr>
        <w:t>говые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депозиты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отдельно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от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других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активов</w:t>
      </w:r>
      <w:r>
        <w:rPr>
          <w:rFonts w:ascii="Calibri"/>
          <w:b/>
          <w:sz w:val="24"/>
        </w:rPr>
        <w:t xml:space="preserve">. </w:t>
      </w:r>
      <w:r>
        <w:rPr>
          <w:rFonts w:ascii="Calibri"/>
          <w:sz w:val="24"/>
        </w:rPr>
        <w:t>Они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должны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поместить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их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на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процентный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счет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с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федеральным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страхованием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и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сообщить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арендатору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название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банка</w:t>
      </w:r>
      <w:r>
        <w:rPr>
          <w:rFonts w:ascii="Calibri"/>
          <w:sz w:val="24"/>
        </w:rPr>
        <w:t>.</w:t>
      </w:r>
    </w:p>
    <w:p w:rsidR="00944F43" w:rsidRDefault="00C0044E">
      <w:pPr>
        <w:pStyle w:val="BodyText"/>
        <w:numPr>
          <w:ilvl w:val="0"/>
          <w:numId w:val="1"/>
        </w:numPr>
        <w:tabs>
          <w:tab w:val="left" w:pos="820"/>
        </w:tabs>
        <w:spacing w:before="209" w:line="286" w:lineRule="exact"/>
        <w:ind w:right="295"/>
      </w:pPr>
      <w:r>
        <w:rPr>
          <w:b/>
        </w:rPr>
        <w:t>Арендаторы получают подписанную квитанцию</w:t>
      </w:r>
      <w:r>
        <w:t>, подтверждающую сумму залогового депозита, дату получения аренд</w:t>
      </w:r>
      <w:r>
        <w:t>одателем и описание объекта. Если арендодатели не в состоянии предоставить данные, арендаторы могут немедленно попросить их залог обратно.</w:t>
      </w:r>
    </w:p>
    <w:p w:rsidR="00944F43" w:rsidRDefault="00C0044E">
      <w:pPr>
        <w:numPr>
          <w:ilvl w:val="0"/>
          <w:numId w:val="1"/>
        </w:numPr>
        <w:tabs>
          <w:tab w:val="left" w:pos="820"/>
        </w:tabs>
        <w:spacing w:before="104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Залоговый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депозит</w:t>
      </w:r>
      <w:r>
        <w:rPr>
          <w:rFonts w:ascii="Calibri"/>
          <w:b/>
          <w:sz w:val="24"/>
        </w:rPr>
        <w:t xml:space="preserve"> + </w:t>
      </w:r>
      <w:r>
        <w:rPr>
          <w:rFonts w:ascii="Calibri"/>
          <w:b/>
          <w:sz w:val="24"/>
        </w:rPr>
        <w:t>проценты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являются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собственностью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арендатора</w:t>
      </w:r>
      <w:r>
        <w:rPr>
          <w:rFonts w:ascii="Calibri"/>
          <w:b/>
          <w:sz w:val="24"/>
        </w:rPr>
        <w:t>.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Хозяин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просто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хранит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их</w:t>
      </w:r>
      <w:r>
        <w:rPr>
          <w:rFonts w:ascii="Calibri"/>
          <w:sz w:val="24"/>
        </w:rPr>
        <w:t>.</w:t>
      </w:r>
    </w:p>
    <w:p w:rsidR="00944F43" w:rsidRDefault="00944F43">
      <w:pPr>
        <w:spacing w:before="17" w:line="260" w:lineRule="exact"/>
        <w:rPr>
          <w:sz w:val="26"/>
          <w:szCs w:val="26"/>
        </w:rPr>
      </w:pPr>
    </w:p>
    <w:p w:rsidR="00944F43" w:rsidRDefault="00C0044E">
      <w:pPr>
        <w:pStyle w:val="BodyText"/>
        <w:spacing w:line="286" w:lineRule="exact"/>
        <w:ind w:left="100" w:right="335" w:firstLine="0"/>
      </w:pPr>
      <w:r>
        <w:rPr>
          <w:b/>
        </w:rPr>
        <w:t>Возврат:</w:t>
      </w:r>
      <w:r>
        <w:t xml:space="preserve"> Арендодатели долж</w:t>
      </w:r>
      <w:r>
        <w:t>ны вернуть остаток залогового депозита плюс проценты в течение 45 дней после даты выезда арендатора (раньше, если арендатор должен покинуть его в результате пожара или потери).</w:t>
      </w:r>
    </w:p>
    <w:p w:rsidR="00944F43" w:rsidRDefault="00C0044E">
      <w:pPr>
        <w:pStyle w:val="BodyText"/>
        <w:numPr>
          <w:ilvl w:val="0"/>
          <w:numId w:val="1"/>
        </w:numPr>
        <w:tabs>
          <w:tab w:val="left" w:pos="820"/>
        </w:tabs>
        <w:spacing w:before="209" w:line="286" w:lineRule="exact"/>
        <w:ind w:right="607"/>
        <w:jc w:val="both"/>
      </w:pPr>
      <w:r>
        <w:rPr>
          <w:b/>
        </w:rPr>
        <w:t>Ежегодные выплаты процентов:</w:t>
      </w:r>
      <w:r>
        <w:t xml:space="preserve"> Арендодатели должны выплачивать арендатору процент</w:t>
      </w:r>
      <w:r>
        <w:t>ы в течение 30 дней после каждого 12-месячного периода аренды (но только в том случае, если они держали залоговый депозит более 6 месяцев).</w:t>
      </w:r>
    </w:p>
    <w:p w:rsidR="00944F43" w:rsidRDefault="00C0044E">
      <w:pPr>
        <w:numPr>
          <w:ilvl w:val="0"/>
          <w:numId w:val="1"/>
        </w:numPr>
        <w:tabs>
          <w:tab w:val="left" w:pos="820"/>
        </w:tabs>
        <w:spacing w:before="104" w:line="286" w:lineRule="exact"/>
        <w:ind w:right="259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Отчисления</w:t>
      </w:r>
      <w:r>
        <w:rPr>
          <w:rFonts w:ascii="Calibri"/>
          <w:b/>
          <w:sz w:val="24"/>
        </w:rPr>
        <w:t>: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Арендодатели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могут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использовать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залог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и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проценты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для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покрытия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неоплаченной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арендной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платы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и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ремонта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за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ущерб</w:t>
      </w:r>
      <w:r>
        <w:rPr>
          <w:rFonts w:ascii="Calibri"/>
          <w:sz w:val="24"/>
        </w:rPr>
        <w:t xml:space="preserve">, </w:t>
      </w:r>
      <w:r>
        <w:rPr>
          <w:rFonts w:ascii="Calibri"/>
          <w:sz w:val="24"/>
        </w:rPr>
        <w:t>причиненный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арендатором</w:t>
      </w:r>
      <w:r>
        <w:rPr>
          <w:rFonts w:ascii="Calibri"/>
          <w:sz w:val="24"/>
        </w:rPr>
        <w:t xml:space="preserve"> (</w:t>
      </w:r>
      <w:r>
        <w:rPr>
          <w:rFonts w:ascii="Calibri"/>
          <w:sz w:val="24"/>
        </w:rPr>
        <w:t>или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их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гостями</w:t>
      </w:r>
      <w:r>
        <w:rPr>
          <w:rFonts w:ascii="Calibri"/>
          <w:sz w:val="24"/>
        </w:rPr>
        <w:t xml:space="preserve">), </w:t>
      </w:r>
      <w:r>
        <w:rPr>
          <w:rFonts w:ascii="Calibri"/>
          <w:sz w:val="24"/>
        </w:rPr>
        <w:t>не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включая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износ</w:t>
      </w:r>
      <w:r>
        <w:rPr>
          <w:rFonts w:ascii="Calibri"/>
          <w:sz w:val="24"/>
        </w:rPr>
        <w:t>.</w:t>
      </w:r>
    </w:p>
    <w:p w:rsidR="00944F43" w:rsidRDefault="00C0044E">
      <w:pPr>
        <w:pStyle w:val="BodyText"/>
        <w:numPr>
          <w:ilvl w:val="0"/>
          <w:numId w:val="1"/>
        </w:numPr>
        <w:tabs>
          <w:tab w:val="left" w:pos="820"/>
        </w:tabs>
        <w:spacing w:before="104" w:line="286" w:lineRule="exact"/>
        <w:ind w:right="262"/>
      </w:pPr>
      <w:r>
        <w:rPr>
          <w:b/>
          <w:bCs/>
        </w:rPr>
        <w:t>Подробные выдержки:</w:t>
      </w:r>
      <w:r>
        <w:t xml:space="preserve"> Арендодатели не могут вычесть сумму для ремонта, не предоставив ар</w:t>
      </w:r>
      <w:r>
        <w:t>ендатору список повреждений и затрат на ремонт/замену в течение 30 дней с момента переезда.</w:t>
      </w:r>
    </w:p>
    <w:p w:rsidR="00944F43" w:rsidRDefault="00C0044E">
      <w:pPr>
        <w:numPr>
          <w:ilvl w:val="1"/>
          <w:numId w:val="1"/>
        </w:numPr>
        <w:tabs>
          <w:tab w:val="left" w:pos="1540"/>
        </w:tabs>
        <w:spacing w:before="104" w:line="286" w:lineRule="exact"/>
        <w:ind w:right="25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Арендодатели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также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должны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предоставить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оплаченные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квитанции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на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ремонт</w:t>
      </w:r>
      <w:r>
        <w:rPr>
          <w:rFonts w:ascii="Calibri"/>
          <w:sz w:val="24"/>
        </w:rPr>
        <w:t>/</w:t>
      </w:r>
      <w:r>
        <w:rPr>
          <w:rFonts w:ascii="Calibri"/>
          <w:sz w:val="24"/>
        </w:rPr>
        <w:t>замену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вместе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с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выпиской</w:t>
      </w:r>
      <w:r>
        <w:rPr>
          <w:rFonts w:ascii="Calibri"/>
          <w:sz w:val="24"/>
        </w:rPr>
        <w:t xml:space="preserve"> (</w:t>
      </w:r>
      <w:r>
        <w:rPr>
          <w:rFonts w:ascii="Calibri"/>
          <w:sz w:val="24"/>
        </w:rPr>
        <w:t>если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она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уже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была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заполнена</w:t>
      </w:r>
      <w:r>
        <w:rPr>
          <w:rFonts w:ascii="Calibri"/>
          <w:sz w:val="24"/>
        </w:rPr>
        <w:t xml:space="preserve">) </w:t>
      </w:r>
      <w:r>
        <w:rPr>
          <w:rFonts w:ascii="Calibri"/>
          <w:sz w:val="24"/>
        </w:rPr>
        <w:t>или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в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течение</w:t>
      </w:r>
      <w:r>
        <w:rPr>
          <w:rFonts w:ascii="Calibri"/>
          <w:sz w:val="24"/>
        </w:rPr>
        <w:t xml:space="preserve"> 30 </w:t>
      </w:r>
      <w:r>
        <w:rPr>
          <w:rFonts w:ascii="Calibri"/>
          <w:sz w:val="24"/>
        </w:rPr>
        <w:t>дней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после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выписки</w:t>
      </w:r>
      <w:r>
        <w:rPr>
          <w:rFonts w:ascii="Calibri"/>
          <w:sz w:val="24"/>
        </w:rPr>
        <w:t>.</w:t>
      </w:r>
    </w:p>
    <w:p w:rsidR="00944F43" w:rsidRDefault="00C0044E">
      <w:pPr>
        <w:numPr>
          <w:ilvl w:val="0"/>
          <w:numId w:val="1"/>
        </w:numPr>
        <w:tabs>
          <w:tab w:val="left" w:pos="820"/>
        </w:tabs>
        <w:spacing w:before="104" w:line="286" w:lineRule="exact"/>
        <w:ind w:right="291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Эт</w:t>
      </w:r>
      <w:r>
        <w:rPr>
          <w:rFonts w:ascii="Calibri"/>
          <w:b/>
          <w:sz w:val="24"/>
        </w:rPr>
        <w:t>и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правила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также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распространяются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на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штат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Иллинойс</w:t>
      </w:r>
      <w:r>
        <w:rPr>
          <w:rFonts w:ascii="Calibri"/>
          <w:b/>
          <w:sz w:val="24"/>
        </w:rPr>
        <w:t xml:space="preserve">! </w:t>
      </w:r>
      <w:r>
        <w:rPr>
          <w:rFonts w:ascii="Calibri"/>
          <w:sz w:val="24"/>
        </w:rPr>
        <w:t>Закон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о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возврате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залогового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депозита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и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Закон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о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процентах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по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гарантийным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вкладам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в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основном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идентичны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закону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Чикаго</w:t>
      </w:r>
      <w:r>
        <w:rPr>
          <w:rFonts w:ascii="Calibri"/>
          <w:sz w:val="24"/>
        </w:rPr>
        <w:t>.</w:t>
      </w:r>
    </w:p>
    <w:p w:rsidR="00944F43" w:rsidRDefault="00944F43">
      <w:pPr>
        <w:spacing w:before="4" w:line="280" w:lineRule="exact"/>
        <w:rPr>
          <w:sz w:val="28"/>
          <w:szCs w:val="28"/>
        </w:rPr>
      </w:pPr>
    </w:p>
    <w:p w:rsidR="00944F43" w:rsidRDefault="00C0044E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Если собственность переходит к новому владельцу:</w:t>
      </w:r>
      <w:r>
        <w:rPr>
          <w:rFonts w:ascii="Calibri" w:hAnsi="Calibri"/>
          <w:sz w:val="24"/>
          <w:szCs w:val="24"/>
        </w:rPr>
        <w:t xml:space="preserve"> Новый владелец несет ответственность за</w:t>
      </w:r>
      <w:r>
        <w:rPr>
          <w:rFonts w:ascii="Calibri" w:hAnsi="Calibri"/>
          <w:sz w:val="24"/>
          <w:szCs w:val="24"/>
        </w:rPr>
        <w:t xml:space="preserve"> залог арендатора.</w:t>
      </w:r>
    </w:p>
    <w:p w:rsidR="00944F43" w:rsidRDefault="00C0044E">
      <w:pPr>
        <w:pStyle w:val="BodyText"/>
        <w:numPr>
          <w:ilvl w:val="0"/>
          <w:numId w:val="1"/>
        </w:numPr>
        <w:tabs>
          <w:tab w:val="left" w:pos="820"/>
        </w:tabs>
        <w:spacing w:before="201" w:line="286" w:lineRule="exact"/>
        <w:ind w:right="287"/>
      </w:pPr>
      <w:r>
        <w:t>Новый владелец должен уведомить арендатора в письменной форме в течение 14 дней с момента передачи имущества для подтверждения факта передачи залоговой суммы.</w:t>
      </w:r>
    </w:p>
    <w:p w:rsidR="00944F43" w:rsidRDefault="00C0044E">
      <w:pPr>
        <w:pStyle w:val="BodyText"/>
        <w:numPr>
          <w:ilvl w:val="0"/>
          <w:numId w:val="1"/>
        </w:numPr>
        <w:tabs>
          <w:tab w:val="left" w:pos="820"/>
        </w:tabs>
        <w:spacing w:before="104"/>
      </w:pPr>
      <w:r>
        <w:lastRenderedPageBreak/>
        <w:t>Старый владелец несет полную ответственность до полной передачи.</w:t>
      </w:r>
    </w:p>
    <w:p w:rsidR="00944F43" w:rsidRDefault="00944F43">
      <w:pPr>
        <w:spacing w:before="17" w:line="260" w:lineRule="exact"/>
        <w:rPr>
          <w:sz w:val="26"/>
          <w:szCs w:val="26"/>
        </w:rPr>
      </w:pPr>
    </w:p>
    <w:p w:rsidR="00944F43" w:rsidRDefault="00C0044E">
      <w:pPr>
        <w:pStyle w:val="BodyText"/>
        <w:ind w:left="100" w:firstLine="0"/>
      </w:pPr>
      <w:r>
        <w:rPr>
          <w:b/>
        </w:rPr>
        <w:t>Компенсация</w:t>
      </w:r>
      <w:r>
        <w:t>:</w:t>
      </w:r>
      <w:r>
        <w:t xml:space="preserve"> Если арендодатель нарушает правила, арендаторы получают депозит в двойном объеме, а также проценты.</w:t>
      </w:r>
    </w:p>
    <w:p w:rsidR="00944F43" w:rsidRDefault="00C0044E">
      <w:pPr>
        <w:pStyle w:val="BodyText"/>
        <w:numPr>
          <w:ilvl w:val="0"/>
          <w:numId w:val="1"/>
        </w:numPr>
        <w:tabs>
          <w:tab w:val="left" w:pos="820"/>
        </w:tabs>
        <w:spacing w:before="201" w:line="286" w:lineRule="exact"/>
        <w:ind w:right="212"/>
        <w:jc w:val="both"/>
      </w:pPr>
      <w:r>
        <w:t xml:space="preserve">Если арендодатель уплачивает </w:t>
      </w:r>
      <w:r>
        <w:rPr>
          <w:b/>
        </w:rPr>
        <w:t>неверную сумму процентов</w:t>
      </w:r>
      <w:r>
        <w:t xml:space="preserve"> и арендатор сообщает об этом арендодателю, арендодатель должен выплатить разницу ПЛЮС 50 долларов. Ес</w:t>
      </w:r>
      <w:r>
        <w:t>ли арендодатель не согласен, арендатор может обратиться в суд. Если арендатор выигрывает дело, арендатор получает в два раза больше своего гарантийного депозита плюс проценты.</w:t>
      </w:r>
    </w:p>
    <w:p w:rsidR="00944F43" w:rsidRDefault="00944F43">
      <w:pPr>
        <w:spacing w:before="6" w:line="120" w:lineRule="exact"/>
        <w:rPr>
          <w:sz w:val="12"/>
          <w:szCs w:val="12"/>
        </w:rPr>
      </w:pPr>
    </w:p>
    <w:p w:rsidR="00944F43" w:rsidRDefault="00944F43">
      <w:pPr>
        <w:spacing w:line="240" w:lineRule="exact"/>
        <w:rPr>
          <w:sz w:val="24"/>
          <w:szCs w:val="24"/>
        </w:rPr>
      </w:pPr>
    </w:p>
    <w:p w:rsidR="00944F43" w:rsidRDefault="00944F43">
      <w:pPr>
        <w:spacing w:line="240" w:lineRule="exact"/>
        <w:rPr>
          <w:sz w:val="24"/>
          <w:szCs w:val="24"/>
        </w:rPr>
      </w:pPr>
    </w:p>
    <w:p w:rsidR="00944F43" w:rsidRDefault="00944F43">
      <w:pPr>
        <w:spacing w:line="240" w:lineRule="exact"/>
        <w:rPr>
          <w:sz w:val="24"/>
          <w:szCs w:val="24"/>
        </w:rPr>
      </w:pPr>
    </w:p>
    <w:p w:rsidR="00944F43" w:rsidRDefault="00944F43">
      <w:pPr>
        <w:spacing w:line="240" w:lineRule="exact"/>
        <w:rPr>
          <w:sz w:val="24"/>
          <w:szCs w:val="24"/>
        </w:rPr>
      </w:pPr>
    </w:p>
    <w:p w:rsidR="00944F43" w:rsidRDefault="00C0044E">
      <w:pPr>
        <w:ind w:right="27"/>
        <w:jc w:val="center"/>
        <w:rPr>
          <w:rFonts w:ascii="Arial" w:eastAsia="Arial" w:hAnsi="Arial" w:cs="Arial"/>
        </w:rPr>
      </w:pPr>
      <w:r>
        <w:rPr>
          <w:rFonts w:ascii="Arial"/>
        </w:rPr>
        <w:t>1</w:t>
      </w:r>
    </w:p>
    <w:sectPr w:rsidR="00944F43">
      <w:type w:val="continuous"/>
      <w:pgSz w:w="12240" w:h="15840"/>
      <w:pgMar w:top="140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9A10E7"/>
    <w:multiLevelType w:val="hybridMultilevel"/>
    <w:tmpl w:val="31F627E6"/>
    <w:lvl w:ilvl="0" w:tplc="EDD6DC70">
      <w:start w:val="1"/>
      <w:numFmt w:val="bullet"/>
      <w:lvlText w:val="●"/>
      <w:lvlJc w:val="left"/>
      <w:pPr>
        <w:ind w:left="820" w:hanging="360"/>
      </w:pPr>
      <w:rPr>
        <w:rFonts w:ascii="Arial" w:eastAsia="Arial" w:hAnsi="Arial" w:hint="default"/>
        <w:sz w:val="24"/>
        <w:szCs w:val="24"/>
      </w:rPr>
    </w:lvl>
    <w:lvl w:ilvl="1" w:tplc="607CE258">
      <w:start w:val="1"/>
      <w:numFmt w:val="bullet"/>
      <w:lvlText w:val="○"/>
      <w:lvlJc w:val="left"/>
      <w:pPr>
        <w:ind w:left="1540" w:hanging="360"/>
      </w:pPr>
      <w:rPr>
        <w:rFonts w:ascii="Arial" w:eastAsia="Arial" w:hAnsi="Arial" w:hint="default"/>
        <w:sz w:val="24"/>
        <w:szCs w:val="24"/>
      </w:rPr>
    </w:lvl>
    <w:lvl w:ilvl="2" w:tplc="067ACD96">
      <w:start w:val="1"/>
      <w:numFmt w:val="bullet"/>
      <w:lvlText w:val="•"/>
      <w:lvlJc w:val="left"/>
      <w:pPr>
        <w:ind w:left="2431" w:hanging="360"/>
      </w:pPr>
      <w:rPr>
        <w:rFonts w:hint="default"/>
      </w:rPr>
    </w:lvl>
    <w:lvl w:ilvl="3" w:tplc="9A482A16">
      <w:start w:val="1"/>
      <w:numFmt w:val="bullet"/>
      <w:lvlText w:val="•"/>
      <w:lvlJc w:val="left"/>
      <w:pPr>
        <w:ind w:left="3322" w:hanging="360"/>
      </w:pPr>
      <w:rPr>
        <w:rFonts w:hint="default"/>
      </w:rPr>
    </w:lvl>
    <w:lvl w:ilvl="4" w:tplc="02A6D976">
      <w:start w:val="1"/>
      <w:numFmt w:val="bullet"/>
      <w:lvlText w:val="•"/>
      <w:lvlJc w:val="left"/>
      <w:pPr>
        <w:ind w:left="4213" w:hanging="360"/>
      </w:pPr>
      <w:rPr>
        <w:rFonts w:hint="default"/>
      </w:rPr>
    </w:lvl>
    <w:lvl w:ilvl="5" w:tplc="22A8DFFA">
      <w:start w:val="1"/>
      <w:numFmt w:val="bullet"/>
      <w:lvlText w:val="•"/>
      <w:lvlJc w:val="left"/>
      <w:pPr>
        <w:ind w:left="5104" w:hanging="360"/>
      </w:pPr>
      <w:rPr>
        <w:rFonts w:hint="default"/>
      </w:rPr>
    </w:lvl>
    <w:lvl w:ilvl="6" w:tplc="12AA5C92">
      <w:start w:val="1"/>
      <w:numFmt w:val="bullet"/>
      <w:lvlText w:val="•"/>
      <w:lvlJc w:val="left"/>
      <w:pPr>
        <w:ind w:left="5995" w:hanging="360"/>
      </w:pPr>
      <w:rPr>
        <w:rFonts w:hint="default"/>
      </w:rPr>
    </w:lvl>
    <w:lvl w:ilvl="7" w:tplc="B160572C">
      <w:start w:val="1"/>
      <w:numFmt w:val="bullet"/>
      <w:lvlText w:val="•"/>
      <w:lvlJc w:val="left"/>
      <w:pPr>
        <w:ind w:left="6886" w:hanging="360"/>
      </w:pPr>
      <w:rPr>
        <w:rFonts w:hint="default"/>
      </w:rPr>
    </w:lvl>
    <w:lvl w:ilvl="8" w:tplc="A2B485CE">
      <w:start w:val="1"/>
      <w:numFmt w:val="bullet"/>
      <w:lvlText w:val="•"/>
      <w:lvlJc w:val="left"/>
      <w:pPr>
        <w:ind w:left="777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44F43"/>
    <w:rsid w:val="00944F43"/>
    <w:rsid w:val="00C0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."/>
  <w:listSeparator w:val=","/>
  <w15:docId w15:val="{DFE3147C-4EBD-49EF-9219-000327E8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Asmaa Diab</dc:creator>
  <cp:lastModifiedBy>Asmaa Diab</cp:lastModifiedBy>
  <cp:revision>3</cp:revision>
  <cp:lastPrinted>2020-05-12T00:01:00Z</cp:lastPrinted>
  <dcterms:created xsi:type="dcterms:W3CDTF">2020-05-07T00:41:00Z</dcterms:created>
  <dcterms:modified xsi:type="dcterms:W3CDTF">2020-05-12T00:01:00Z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2020-05-06T00:00:00Z</vt:filetime>
  </property>
  <property fmtid="{D5CDD505-2E9C-101B-9397-08002B2CF9AE}" pid="3" name="LastSaved">
    <vt:filetime>2020-05-06T00:00:00Z</vt:filetime>
  </property>
</Properties>
</file>