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758" w:rsidRPr="004952F7" w:rsidRDefault="004952F7">
      <w:pPr>
        <w:spacing w:before="42" w:line="237" w:lineRule="auto"/>
        <w:ind w:left="3430" w:right="3431" w:hanging="16"/>
        <w:jc w:val="center"/>
        <w:rPr>
          <w:rFonts w:hAnsi="Arial" w:cs="Arial"/>
          <w:sz w:val="24"/>
        </w:rPr>
      </w:pPr>
      <w:bookmarkStart w:id="0" w:name="_GoBack"/>
      <w:bookmarkEnd w:id="0"/>
      <w:r>
        <w:rPr>
          <w:rFonts w:hAnsi="Arial"/>
          <w:b/>
          <w:sz w:val="24"/>
        </w:rPr>
        <w:t xml:space="preserve">Quyền sửa chữa của Người thuê nhà </w:t>
      </w:r>
      <w:r>
        <w:rPr>
          <w:rFonts w:hAnsi="Arial"/>
          <w:sz w:val="24"/>
        </w:rPr>
        <w:t>Trung tâm Uptown People’s Law Center Cập nhật tháng 3/2020</w:t>
      </w:r>
    </w:p>
    <w:p w:rsidR="00A34758" w:rsidRPr="004952F7" w:rsidRDefault="00A34758">
      <w:pPr>
        <w:pStyle w:val="BodyText"/>
        <w:ind w:left="0" w:firstLine="0"/>
        <w:rPr>
          <w:rFonts w:hAnsi="Arial" w:cs="Arial"/>
        </w:rPr>
      </w:pPr>
    </w:p>
    <w:p w:rsidR="00A34758" w:rsidRPr="004952F7" w:rsidRDefault="00A34758">
      <w:pPr>
        <w:pStyle w:val="BodyText"/>
        <w:spacing w:before="2"/>
        <w:ind w:left="0" w:firstLine="0"/>
        <w:rPr>
          <w:rFonts w:hAnsi="Arial" w:cs="Arial"/>
          <w:sz w:val="20"/>
        </w:rPr>
      </w:pPr>
    </w:p>
    <w:p w:rsidR="00A34758" w:rsidRPr="004952F7" w:rsidRDefault="004952F7">
      <w:pPr>
        <w:pStyle w:val="BodyText"/>
        <w:spacing w:before="1" w:line="225" w:lineRule="auto"/>
        <w:ind w:left="141" w:right="161" w:firstLine="0"/>
        <w:jc w:val="center"/>
        <w:rPr>
          <w:rFonts w:hAnsi="Arial" w:cs="Arial"/>
        </w:rPr>
      </w:pPr>
      <w:r>
        <w:rPr>
          <w:rFonts w:hAnsi="Arial"/>
          <w:b/>
        </w:rPr>
        <w:t xml:space="preserve">Luật địa phương: </w:t>
      </w:r>
      <w:r>
        <w:rPr>
          <w:rFonts w:hAnsi="Arial"/>
        </w:rPr>
        <w:t>Pháp lệnh cho Chủ nhà &amp; Người thuê nhà tại Khu dân cư của Chicago (CRLTO) quy định quyền sửa chữa, nhưng không dành cho chương trình hợp tác hoặc các tòa nhà do chủ sở hữu ở gồm 6 căn hộ trở xuống; đối với các loại nhà ở này, hãy tham khảo hợp đồng thuê.</w:t>
      </w:r>
    </w:p>
    <w:p w:rsidR="00A34758" w:rsidRPr="004952F7" w:rsidRDefault="00A34758">
      <w:pPr>
        <w:pStyle w:val="BodyText"/>
        <w:spacing w:before="1"/>
        <w:ind w:left="0" w:firstLine="0"/>
        <w:rPr>
          <w:rFonts w:hAnsi="Arial" w:cs="Arial"/>
          <w:sz w:val="22"/>
        </w:rPr>
      </w:pPr>
    </w:p>
    <w:p w:rsidR="00A34758" w:rsidRPr="004952F7" w:rsidRDefault="004952F7">
      <w:pPr>
        <w:pStyle w:val="BodyText"/>
        <w:spacing w:line="225" w:lineRule="auto"/>
        <w:ind w:left="160" w:right="161" w:firstLine="0"/>
        <w:jc w:val="center"/>
        <w:rPr>
          <w:rFonts w:hAnsi="Arial" w:cs="Arial"/>
        </w:rPr>
      </w:pPr>
      <w:r>
        <w:rPr>
          <w:rFonts w:hAnsi="Arial"/>
          <w:b/>
        </w:rPr>
        <w:t>Tiền đặt cọc</w:t>
      </w:r>
      <w:r>
        <w:rPr>
          <w:rFonts w:hAnsi="Arial"/>
        </w:rPr>
        <w:t>: Trước khi giữ lại tiền đặt cọc và tiền lãi để bù đắp thiệt hại do người thuê gây ra, chủ nhà phải gửi thông báo được ghi thành từng khoản trong vòng 30 ngày kể từ khi người thuê nhà chuyển đi.</w:t>
      </w:r>
    </w:p>
    <w:p w:rsidR="00A34758" w:rsidRPr="004952F7" w:rsidRDefault="00A34758">
      <w:pPr>
        <w:pStyle w:val="BodyText"/>
        <w:spacing w:before="1"/>
        <w:ind w:left="0" w:firstLine="0"/>
        <w:rPr>
          <w:rFonts w:hAnsi="Arial" w:cs="Arial"/>
          <w:sz w:val="22"/>
        </w:rPr>
      </w:pPr>
    </w:p>
    <w:p w:rsidR="00A34758" w:rsidRPr="004952F7" w:rsidRDefault="004952F7">
      <w:pPr>
        <w:pStyle w:val="BodyText"/>
        <w:spacing w:line="225" w:lineRule="auto"/>
        <w:ind w:left="160" w:right="796" w:firstLine="0"/>
        <w:rPr>
          <w:rFonts w:hAnsi="Arial" w:cs="Arial"/>
        </w:rPr>
      </w:pPr>
      <w:r>
        <w:rPr>
          <w:rFonts w:hAnsi="Arial"/>
          <w:b/>
        </w:rPr>
        <w:t>Nghĩa vụ của người thuê nhà</w:t>
      </w:r>
      <w:r>
        <w:rPr>
          <w:rFonts w:hAnsi="Arial"/>
        </w:rPr>
        <w:t>: Không cố ý hoặc vô tình phá hủy/làm hỏng/tháo rời đồ đạc trong căn hộ (áp dụng tương tự cho khách). Giữ không gian sinh hoạt an toàn và hệ thống ống nước sạch sẽ. Sử dụng thiết bị gia dụng một cách hợp lý.</w:t>
      </w:r>
    </w:p>
    <w:p w:rsidR="00A34758" w:rsidRPr="004952F7" w:rsidRDefault="00A34758">
      <w:pPr>
        <w:pStyle w:val="BodyText"/>
        <w:ind w:left="0" w:firstLine="0"/>
        <w:rPr>
          <w:rFonts w:hAnsi="Arial" w:cs="Arial"/>
          <w:sz w:val="22"/>
        </w:rPr>
      </w:pPr>
    </w:p>
    <w:p w:rsidR="00A34758" w:rsidRPr="004952F7" w:rsidRDefault="004952F7">
      <w:pPr>
        <w:pStyle w:val="BodyText"/>
        <w:spacing w:line="225" w:lineRule="auto"/>
        <w:ind w:left="160" w:right="582" w:firstLine="0"/>
        <w:rPr>
          <w:rFonts w:hAnsi="Arial" w:cs="Arial"/>
        </w:rPr>
      </w:pPr>
      <w:r>
        <w:rPr>
          <w:rFonts w:hAnsi="Arial"/>
          <w:b/>
        </w:rPr>
        <w:t xml:space="preserve">Tuân thủ đạo luật: </w:t>
      </w:r>
      <w:r>
        <w:rPr>
          <w:rFonts w:hAnsi="Arial"/>
        </w:rPr>
        <w:t>Luật pháp yêu cầu chủ nhà phải tiến hành bảo trì các tòa nhà và tuân thủ luật pháp của thành phố. Có nghĩa là phải kịp thời tiến hành sửa chữa để đảm bảo các tòa nhà của họ tuân thủ pháp luật.</w:t>
      </w:r>
    </w:p>
    <w:p w:rsidR="00A34758" w:rsidRPr="004952F7" w:rsidRDefault="00A34758">
      <w:pPr>
        <w:pStyle w:val="BodyText"/>
        <w:spacing w:before="1"/>
        <w:ind w:left="0" w:firstLine="0"/>
        <w:rPr>
          <w:rFonts w:hAnsi="Arial" w:cs="Arial"/>
          <w:sz w:val="21"/>
        </w:rPr>
      </w:pPr>
    </w:p>
    <w:p w:rsidR="00A34758" w:rsidRPr="004952F7" w:rsidRDefault="004952F7">
      <w:pPr>
        <w:spacing w:line="296" w:lineRule="exact"/>
        <w:ind w:left="160"/>
        <w:rPr>
          <w:rFonts w:hAnsi="Arial" w:cs="Arial"/>
          <w:sz w:val="24"/>
        </w:rPr>
      </w:pPr>
      <w:r>
        <w:rPr>
          <w:rFonts w:hAnsi="Arial"/>
          <w:b/>
          <w:sz w:val="24"/>
        </w:rPr>
        <w:t xml:space="preserve">Trách nhiệm của chủ nhà: </w:t>
      </w:r>
      <w:r>
        <w:rPr>
          <w:rFonts w:hAnsi="Arial"/>
          <w:sz w:val="24"/>
        </w:rPr>
        <w:t>Người thuê nhà có quyền yêu cầu các nội dung sau từ chủ nhà:</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Duy trì </w:t>
      </w:r>
      <w:r>
        <w:rPr>
          <w:rFonts w:hAnsi="Arial"/>
          <w:sz w:val="24"/>
          <w:u w:val="single"/>
        </w:rPr>
        <w:t>tính toàn vẹn kết cấu</w:t>
      </w:r>
      <w:r>
        <w:rPr>
          <w:rFonts w:hAnsi="Arial"/>
          <w:sz w:val="24"/>
        </w:rPr>
        <w:t xml:space="preserve"> của tòa nhà.</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sàn nhà</w:t>
      </w:r>
      <w:r>
        <w:rPr>
          <w:rFonts w:hAnsi="Arial"/>
          <w:sz w:val="24"/>
        </w:rPr>
        <w:t>.</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Tuân thủ </w:t>
      </w:r>
      <w:r>
        <w:rPr>
          <w:rFonts w:hAnsi="Arial"/>
          <w:sz w:val="24"/>
          <w:u w:val="single"/>
        </w:rPr>
        <w:t>yêu cầu pháp luật về lối thoát hiểm.</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lối thoát hiểm</w:t>
      </w:r>
      <w:r>
        <w:rPr>
          <w:rFonts w:hAnsi="Arial"/>
          <w:sz w:val="24"/>
        </w:rPr>
        <w:t>, lối thoát hỏa hoạn, cầu thang và biển chỉ hướng.</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thiết bị báo khối và các thiết bị </w:t>
      </w:r>
      <w:r>
        <w:rPr>
          <w:rFonts w:hAnsi="Arial"/>
          <w:sz w:val="24"/>
          <w:u w:val="single"/>
        </w:rPr>
        <w:t>cứu hỏa</w:t>
      </w:r>
      <w:r>
        <w:rPr>
          <w:rFonts w:hAnsi="Arial"/>
          <w:sz w:val="24"/>
        </w:rPr>
        <w:t xml:space="preserve"> khác.</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thang máy.</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và duy trì </w:t>
      </w:r>
      <w:r>
        <w:rPr>
          <w:rFonts w:hAnsi="Arial"/>
          <w:sz w:val="24"/>
          <w:u w:val="single"/>
        </w:rPr>
        <w:t>hệ thống cấp thoát nước</w:t>
      </w:r>
      <w:r>
        <w:rPr>
          <w:rFonts w:hAnsi="Arial"/>
          <w:sz w:val="24"/>
        </w:rPr>
        <w:t xml:space="preserve"> ở trạng thái hoạt động tốt.</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thiết bị</w:t>
      </w:r>
      <w:r>
        <w:rPr>
          <w:rFonts w:hAnsi="Arial"/>
          <w:sz w:val="24"/>
        </w:rPr>
        <w:t xml:space="preserve"> sưởi và các thiết bị chạy bằng khí đốt.</w:t>
      </w:r>
    </w:p>
    <w:p w:rsidR="00A34758" w:rsidRPr="004952F7" w:rsidRDefault="004952F7">
      <w:pPr>
        <w:pStyle w:val="ListParagraph"/>
        <w:numPr>
          <w:ilvl w:val="0"/>
          <w:numId w:val="5"/>
        </w:numPr>
        <w:tabs>
          <w:tab w:val="left" w:pos="879"/>
          <w:tab w:val="left" w:pos="880"/>
        </w:tabs>
        <w:spacing w:line="285" w:lineRule="exact"/>
        <w:rPr>
          <w:rFonts w:hAnsi="Arial" w:cs="Arial"/>
          <w:i/>
          <w:sz w:val="24"/>
        </w:rPr>
      </w:pPr>
      <w:r>
        <w:rPr>
          <w:rFonts w:hAnsi="Arial"/>
          <w:sz w:val="24"/>
        </w:rPr>
        <w:t xml:space="preserve">Cung cấp </w:t>
      </w:r>
      <w:r>
        <w:rPr>
          <w:rFonts w:hAnsi="Arial"/>
          <w:sz w:val="24"/>
          <w:u w:val="single"/>
        </w:rPr>
        <w:t>hệ thống sưởi hoặc nước nóng</w:t>
      </w:r>
      <w:r>
        <w:rPr>
          <w:rFonts w:hAnsi="Arial"/>
          <w:sz w:val="24"/>
        </w:rPr>
        <w:t xml:space="preserve"> </w:t>
      </w:r>
      <w:r>
        <w:rPr>
          <w:rFonts w:hAnsi="Arial"/>
          <w:i/>
          <w:sz w:val="24"/>
        </w:rPr>
        <w:t>(nhưng nước nóng là yêu cầu bắt buộc; xem mục tiếp theo)</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w:t>
      </w:r>
      <w:r>
        <w:rPr>
          <w:rFonts w:hAnsi="Arial"/>
          <w:sz w:val="24"/>
          <w:u w:val="single"/>
        </w:rPr>
        <w:t>hệ thống nước</w:t>
      </w:r>
      <w:r>
        <w:rPr>
          <w:rFonts w:hAnsi="Arial"/>
          <w:sz w:val="24"/>
        </w:rPr>
        <w:t xml:space="preserve"> nóng và lạnh.</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w:t>
      </w:r>
      <w:r>
        <w:rPr>
          <w:rFonts w:hAnsi="Arial"/>
          <w:sz w:val="24"/>
          <w:u w:val="single"/>
        </w:rPr>
        <w:t>hệ thống chiếu sáng</w:t>
      </w:r>
      <w:r>
        <w:rPr>
          <w:rFonts w:hAnsi="Arial"/>
          <w:sz w:val="24"/>
        </w:rPr>
        <w:t xml:space="preserve"> phù hợp cho hành lang hoặc khu vực cầu thang.</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móng nhà</w:t>
      </w:r>
      <w:r>
        <w:rPr>
          <w:rFonts w:hAnsi="Arial"/>
          <w:sz w:val="24"/>
        </w:rPr>
        <w:t xml:space="preserve"> và đảm bảo mặt ngoài tòa nhà không thấm nước và bảo vệ tránh các loài gặm nhấm.</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cửa ra vào và cửa sổ để đảm bảo có thể </w:t>
      </w:r>
      <w:r>
        <w:rPr>
          <w:rFonts w:hAnsi="Arial"/>
          <w:sz w:val="24"/>
          <w:u w:val="single"/>
        </w:rPr>
        <w:t>khóa cửa</w:t>
      </w:r>
      <w:r>
        <w:rPr>
          <w:rFonts w:hAnsi="Arial"/>
          <w:sz w:val="24"/>
        </w:rPr>
        <w:t>.</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w:t>
      </w:r>
      <w:r>
        <w:rPr>
          <w:rFonts w:hAnsi="Arial"/>
          <w:sz w:val="24"/>
          <w:u w:val="single"/>
        </w:rPr>
        <w:t>rèm cửa sổ.</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cầu thang hoặc hiên nhà.</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Duy trì </w:t>
      </w:r>
      <w:r>
        <w:rPr>
          <w:rFonts w:hAnsi="Arial"/>
          <w:sz w:val="24"/>
          <w:u w:val="single"/>
        </w:rPr>
        <w:t>tầng hầm hoặc hầm</w:t>
      </w:r>
      <w:r>
        <w:rPr>
          <w:rFonts w:hAnsi="Arial"/>
          <w:sz w:val="24"/>
        </w:rPr>
        <w:t xml:space="preserve"> để đảm bảo an toàn và vệ sinh.</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Duy trì trang thiết bị cho </w:t>
      </w:r>
      <w:r>
        <w:rPr>
          <w:rFonts w:hAnsi="Arial"/>
          <w:sz w:val="24"/>
          <w:u w:val="single"/>
        </w:rPr>
        <w:t>ống khói.</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Tránh </w:t>
      </w:r>
      <w:r>
        <w:rPr>
          <w:rFonts w:hAnsi="Arial"/>
          <w:sz w:val="24"/>
          <w:u w:val="single"/>
        </w:rPr>
        <w:t>nước đọng</w:t>
      </w:r>
      <w:r>
        <w:rPr>
          <w:rFonts w:hAnsi="Arial"/>
          <w:sz w:val="24"/>
        </w:rPr>
        <w:t xml:space="preserve"> tích lũy bên trong tòa nhà.</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u w:val="single"/>
        </w:rPr>
        <w:t>Diệt</w:t>
      </w:r>
      <w:r>
        <w:rPr>
          <w:rFonts w:hAnsi="Arial"/>
          <w:sz w:val="24"/>
        </w:rPr>
        <w:t xml:space="preserve"> côn trùng, động vật gặm nhấm và sâu bọ.</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hoặc bảo trì trang thiết bị </w:t>
      </w:r>
      <w:r>
        <w:rPr>
          <w:rFonts w:hAnsi="Arial"/>
          <w:sz w:val="24"/>
          <w:u w:val="single"/>
        </w:rPr>
        <w:t>xử lý rác.</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lastRenderedPageBreak/>
        <w:t xml:space="preserve">Tránh để </w:t>
      </w:r>
      <w:r>
        <w:rPr>
          <w:rFonts w:hAnsi="Arial"/>
          <w:sz w:val="24"/>
          <w:u w:val="single"/>
        </w:rPr>
        <w:t>rác thải và mảnh vụn</w:t>
      </w:r>
      <w:r>
        <w:rPr>
          <w:rFonts w:hAnsi="Arial"/>
          <w:sz w:val="24"/>
        </w:rPr>
        <w:t xml:space="preserve"> tồn đọng.</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đủ </w:t>
      </w:r>
      <w:r>
        <w:rPr>
          <w:rFonts w:hAnsi="Arial"/>
          <w:sz w:val="24"/>
          <w:u w:val="single"/>
        </w:rPr>
        <w:t>ánh sáng hoặc thông gió.</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w:t>
      </w:r>
      <w:r>
        <w:rPr>
          <w:rFonts w:hAnsi="Arial"/>
          <w:sz w:val="24"/>
          <w:u w:val="single"/>
        </w:rPr>
        <w:t>trang thiết bị cấp thoát nước</w:t>
      </w:r>
      <w:r>
        <w:rPr>
          <w:rFonts w:hAnsi="Arial"/>
          <w:sz w:val="24"/>
        </w:rPr>
        <w:t>, đường ống, đầu nối, phụ kiện và trang thiết bị.</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Cung cấp hoặc bảo trì hệ thống, đường dây và thiết bị </w:t>
      </w:r>
      <w:r>
        <w:rPr>
          <w:rFonts w:hAnsi="Arial"/>
          <w:sz w:val="24"/>
          <w:u w:val="single"/>
        </w:rPr>
        <w:t>điện</w:t>
      </w:r>
      <w:r>
        <w:rPr>
          <w:rFonts w:hAnsi="Arial"/>
          <w:sz w:val="24"/>
        </w:rPr>
        <w:t>.</w:t>
      </w:r>
    </w:p>
    <w:p w:rsidR="00A34758" w:rsidRPr="004952F7" w:rsidRDefault="004952F7">
      <w:pPr>
        <w:pStyle w:val="ListParagraph"/>
        <w:numPr>
          <w:ilvl w:val="0"/>
          <w:numId w:val="5"/>
        </w:numPr>
        <w:tabs>
          <w:tab w:val="left" w:pos="879"/>
          <w:tab w:val="left" w:pos="880"/>
        </w:tabs>
        <w:spacing w:line="285" w:lineRule="exact"/>
        <w:rPr>
          <w:rFonts w:hAnsi="Arial" w:cs="Arial"/>
          <w:sz w:val="24"/>
        </w:rPr>
      </w:pPr>
      <w:r>
        <w:rPr>
          <w:rFonts w:hAnsi="Arial"/>
          <w:sz w:val="24"/>
        </w:rPr>
        <w:t xml:space="preserve">Bảo trì và sửa chữa </w:t>
      </w:r>
      <w:r>
        <w:rPr>
          <w:rFonts w:hAnsi="Arial"/>
          <w:sz w:val="24"/>
          <w:u w:val="single"/>
        </w:rPr>
        <w:t>thiết bị</w:t>
      </w:r>
      <w:r>
        <w:rPr>
          <w:rFonts w:hAnsi="Arial"/>
          <w:sz w:val="24"/>
        </w:rPr>
        <w:t xml:space="preserve"> do chủ nhà cung cấp hoặc yêu cầu.</w:t>
      </w:r>
    </w:p>
    <w:p w:rsidR="00A34758" w:rsidRPr="004952F7" w:rsidRDefault="004952F7">
      <w:pPr>
        <w:pStyle w:val="ListParagraph"/>
        <w:numPr>
          <w:ilvl w:val="0"/>
          <w:numId w:val="5"/>
        </w:numPr>
        <w:tabs>
          <w:tab w:val="left" w:pos="879"/>
          <w:tab w:val="left" w:pos="880"/>
        </w:tabs>
        <w:spacing w:line="296" w:lineRule="exact"/>
        <w:rPr>
          <w:rFonts w:hAnsi="Arial" w:cs="Arial"/>
          <w:sz w:val="24"/>
        </w:rPr>
      </w:pPr>
      <w:r>
        <w:rPr>
          <w:rFonts w:hAnsi="Arial"/>
          <w:sz w:val="24"/>
        </w:rPr>
        <w:t xml:space="preserve">Bảo trì tất cả </w:t>
      </w:r>
      <w:r>
        <w:rPr>
          <w:rFonts w:hAnsi="Arial"/>
          <w:sz w:val="24"/>
          <w:u w:val="single"/>
        </w:rPr>
        <w:t>không gian ở và sinh hoạt chung</w:t>
      </w:r>
      <w:r>
        <w:rPr>
          <w:rFonts w:hAnsi="Arial"/>
          <w:sz w:val="24"/>
        </w:rPr>
        <w:t xml:space="preserve"> ở “tình trạng phù hợp và có thể sinh hoạt”</w:t>
      </w:r>
    </w:p>
    <w:p w:rsidR="00A34758" w:rsidRPr="004952F7" w:rsidRDefault="00A34758">
      <w:pPr>
        <w:pStyle w:val="BodyText"/>
        <w:spacing w:before="5"/>
        <w:ind w:left="0" w:firstLine="0"/>
        <w:rPr>
          <w:rFonts w:hAnsi="Arial" w:cs="Arial"/>
          <w:sz w:val="13"/>
        </w:rPr>
      </w:pPr>
    </w:p>
    <w:p w:rsidR="00A34758" w:rsidRPr="004952F7" w:rsidRDefault="004952F7">
      <w:pPr>
        <w:pStyle w:val="BodyText"/>
        <w:spacing w:before="68" w:line="225" w:lineRule="auto"/>
        <w:ind w:left="160" w:right="174" w:firstLine="0"/>
        <w:rPr>
          <w:rFonts w:hAnsi="Arial" w:cs="Arial"/>
        </w:rPr>
      </w:pPr>
      <w:r>
        <w:rPr>
          <w:rFonts w:hAnsi="Arial"/>
          <w:b/>
        </w:rPr>
        <w:t xml:space="preserve">Lối vào: </w:t>
      </w:r>
      <w:r>
        <w:rPr>
          <w:rFonts w:hAnsi="Arial"/>
        </w:rPr>
        <w:t>Đối với việc sửa chữa thường xuyên, chủ nhà có quyền ra vào, nhưng chỉ trong khoảng từ 8 giờ sáng đến 8 giờ tối và phải báo trước 2 ngày. Chủ nhà không được lạm dụng quyền này. Chủ nhà không được sử dụng quyền này để quấy rối người thuê nhà.</w:t>
      </w:r>
    </w:p>
    <w:p w:rsidR="00A34758" w:rsidRPr="004952F7" w:rsidRDefault="004952F7">
      <w:pPr>
        <w:pStyle w:val="ListParagraph"/>
        <w:numPr>
          <w:ilvl w:val="0"/>
          <w:numId w:val="5"/>
        </w:numPr>
        <w:tabs>
          <w:tab w:val="left" w:pos="879"/>
          <w:tab w:val="left" w:pos="880"/>
        </w:tabs>
        <w:spacing w:before="205" w:line="225" w:lineRule="auto"/>
        <w:ind w:right="344"/>
        <w:rPr>
          <w:rFonts w:hAnsi="Arial" w:cs="Arial"/>
          <w:sz w:val="24"/>
        </w:rPr>
      </w:pPr>
      <w:r>
        <w:rPr>
          <w:rFonts w:hAnsi="Arial"/>
          <w:b/>
          <w:sz w:val="24"/>
        </w:rPr>
        <w:t>Sửa chữa khẩn cấp</w:t>
      </w:r>
      <w:r>
        <w:rPr>
          <w:rFonts w:hAnsi="Arial"/>
          <w:sz w:val="24"/>
        </w:rPr>
        <w:t>: Chủ nhà có thể ra vào bất kỳ lúc nào, không cần thông báo trước. Tuy nhiên, chủ nhà phải thông báo cho người thuê nhà về việc đến nhà trong vòng 2 ngày.</w:t>
      </w:r>
    </w:p>
    <w:p w:rsidR="00A34758" w:rsidRPr="004952F7" w:rsidRDefault="004952F7">
      <w:pPr>
        <w:pStyle w:val="ListParagraph"/>
        <w:numPr>
          <w:ilvl w:val="0"/>
          <w:numId w:val="5"/>
        </w:numPr>
        <w:tabs>
          <w:tab w:val="left" w:pos="879"/>
          <w:tab w:val="left" w:pos="880"/>
        </w:tabs>
        <w:spacing w:before="205" w:line="225" w:lineRule="auto"/>
        <w:ind w:right="731"/>
        <w:rPr>
          <w:rFonts w:hAnsi="Arial" w:cs="Arial"/>
          <w:sz w:val="24"/>
        </w:rPr>
      </w:pPr>
      <w:r>
        <w:rPr>
          <w:rFonts w:hAnsi="Arial"/>
          <w:b/>
          <w:sz w:val="24"/>
        </w:rPr>
        <w:t>Nếu người thuê nhà từ chối cho chủ nhà ra vào</w:t>
      </w:r>
      <w:r>
        <w:rPr>
          <w:rFonts w:hAnsi="Arial"/>
          <w:sz w:val="24"/>
        </w:rPr>
        <w:t>: Chủ nhà có thể chấm dứt hợp đồng thuê HOẶC kiện ra tòa án để can thiệp; chủ nhà cũng có thể thu hồi chi phí thiệt hại.</w:t>
      </w:r>
    </w:p>
    <w:p w:rsidR="00A34758" w:rsidRPr="004952F7" w:rsidRDefault="004952F7">
      <w:pPr>
        <w:pStyle w:val="ListParagraph"/>
        <w:numPr>
          <w:ilvl w:val="0"/>
          <w:numId w:val="5"/>
        </w:numPr>
        <w:tabs>
          <w:tab w:val="left" w:pos="879"/>
          <w:tab w:val="left" w:pos="880"/>
        </w:tabs>
        <w:spacing w:before="206" w:line="225" w:lineRule="auto"/>
        <w:ind w:right="222"/>
        <w:rPr>
          <w:rFonts w:hAnsi="Arial" w:cs="Arial"/>
          <w:sz w:val="24"/>
        </w:rPr>
      </w:pPr>
      <w:r>
        <w:rPr>
          <w:rFonts w:hAnsi="Arial"/>
          <w:b/>
          <w:sz w:val="24"/>
        </w:rPr>
        <w:t>Nếu chủ nhà vi phạm các quy tắc này</w:t>
      </w:r>
      <w:r>
        <w:rPr>
          <w:rFonts w:hAnsi="Arial"/>
          <w:sz w:val="24"/>
        </w:rPr>
        <w:t>: Người thuê nhà có thể chấm dứt hợp đồng thuê HOẶC kiện ra tòa án để can thiệp; người thuê nhà cũng có thể thu hồi chi phí thiệt hại (tương đương 1 tháng tiền thuê nhà hoặc 2 lần chi phí thiệt hại, tùy thuộc vào số tiền nào lớn hơn).</w:t>
      </w:r>
    </w:p>
    <w:p w:rsidR="00A34758" w:rsidRPr="004952F7" w:rsidRDefault="00A34758">
      <w:pPr>
        <w:pStyle w:val="BodyText"/>
        <w:ind w:left="0" w:firstLine="0"/>
        <w:rPr>
          <w:rFonts w:hAnsi="Arial" w:cs="Arial"/>
          <w:sz w:val="22"/>
        </w:rPr>
      </w:pPr>
    </w:p>
    <w:p w:rsidR="00A34758" w:rsidRPr="004952F7" w:rsidRDefault="004952F7">
      <w:pPr>
        <w:spacing w:line="225" w:lineRule="auto"/>
        <w:ind w:left="160" w:right="438"/>
        <w:rPr>
          <w:rFonts w:hAnsi="Arial" w:cs="Arial"/>
          <w:sz w:val="24"/>
        </w:rPr>
      </w:pPr>
      <w:r>
        <w:rPr>
          <w:rFonts w:hAnsi="Arial"/>
          <w:b/>
          <w:sz w:val="24"/>
        </w:rPr>
        <w:t>Biện pháp khắc phục cho hành vi vi phạm đạo luật không phải do người thuê nhà gây ra</w:t>
      </w:r>
      <w:r>
        <w:rPr>
          <w:rFonts w:hAnsi="Arial"/>
          <w:sz w:val="24"/>
        </w:rPr>
        <w:t>: Người thuê nhà có thể thông báo bằng văn bản cho chủ nhà, yêu cầu sửa chữa trong vòng 14 ngày. Họ cũng có thể kiện ra tòa án để can thiệp và được bồi thường thiệt hại.</w:t>
      </w:r>
    </w:p>
    <w:p w:rsidR="00A34758" w:rsidRPr="004952F7" w:rsidRDefault="004952F7">
      <w:pPr>
        <w:pStyle w:val="ListParagraph"/>
        <w:numPr>
          <w:ilvl w:val="0"/>
          <w:numId w:val="5"/>
        </w:numPr>
        <w:tabs>
          <w:tab w:val="left" w:pos="879"/>
          <w:tab w:val="left" w:pos="880"/>
        </w:tabs>
        <w:spacing w:before="192" w:line="296" w:lineRule="exact"/>
        <w:rPr>
          <w:rFonts w:hAnsi="Arial" w:cs="Arial"/>
          <w:sz w:val="24"/>
        </w:rPr>
      </w:pPr>
      <w:r>
        <w:rPr>
          <w:rFonts w:hAnsi="Arial"/>
          <w:b/>
          <w:sz w:val="24"/>
        </w:rPr>
        <w:t>Hỏng hóc nhỏ</w:t>
      </w:r>
      <w:r>
        <w:rPr>
          <w:rFonts w:hAnsi="Arial"/>
          <w:sz w:val="24"/>
        </w:rPr>
        <w:t>: Sau 14 ngày, người thuê nhà có thể giữ lại một phần tiền thuê nhà, tương đương:</w:t>
      </w:r>
    </w:p>
    <w:p w:rsidR="00A34758" w:rsidRPr="004952F7" w:rsidRDefault="004952F7">
      <w:pPr>
        <w:pStyle w:val="ListParagraph"/>
        <w:numPr>
          <w:ilvl w:val="1"/>
          <w:numId w:val="5"/>
        </w:numPr>
        <w:tabs>
          <w:tab w:val="left" w:pos="1599"/>
          <w:tab w:val="left" w:pos="1600"/>
        </w:tabs>
        <w:spacing w:line="285" w:lineRule="exact"/>
        <w:rPr>
          <w:rFonts w:hAnsi="Arial" w:cs="Arial"/>
          <w:sz w:val="24"/>
        </w:rPr>
      </w:pPr>
      <w:r>
        <w:rPr>
          <w:rFonts w:hAnsi="Arial"/>
          <w:sz w:val="24"/>
        </w:rPr>
        <w:t>giá trị bị giảm bớt của căn hộ (nếu người thuê nhà không tự sửa chữa), HOẶC</w:t>
      </w:r>
    </w:p>
    <w:p w:rsidR="00A34758" w:rsidRPr="004952F7" w:rsidRDefault="004952F7">
      <w:pPr>
        <w:pStyle w:val="ListParagraph"/>
        <w:numPr>
          <w:ilvl w:val="1"/>
          <w:numId w:val="5"/>
        </w:numPr>
        <w:tabs>
          <w:tab w:val="left" w:pos="1599"/>
          <w:tab w:val="left" w:pos="1600"/>
        </w:tabs>
        <w:spacing w:line="296" w:lineRule="exact"/>
        <w:rPr>
          <w:rFonts w:hAnsi="Arial" w:cs="Arial"/>
          <w:sz w:val="24"/>
        </w:rPr>
      </w:pPr>
      <w:r>
        <w:rPr>
          <w:rFonts w:hAnsi="Arial"/>
          <w:sz w:val="24"/>
        </w:rPr>
        <w:t>chi phí sửa chữa do người thuê nhà sắp xếp (trên 500 USD hoặc ½ tiền thuê nhà; không vượt quá số tiền thuê nhà).</w:t>
      </w:r>
    </w:p>
    <w:p w:rsidR="00A34758" w:rsidRPr="004952F7" w:rsidRDefault="004952F7">
      <w:pPr>
        <w:pStyle w:val="ListParagraph"/>
        <w:numPr>
          <w:ilvl w:val="0"/>
          <w:numId w:val="4"/>
        </w:numPr>
        <w:tabs>
          <w:tab w:val="left" w:pos="879"/>
          <w:tab w:val="left" w:pos="880"/>
        </w:tabs>
        <w:spacing w:before="201" w:line="225" w:lineRule="auto"/>
        <w:ind w:right="160"/>
        <w:rPr>
          <w:rFonts w:hAnsi="Arial" w:cs="Arial"/>
          <w:sz w:val="24"/>
        </w:rPr>
      </w:pPr>
      <w:r>
        <w:rPr>
          <w:rFonts w:hAnsi="Arial"/>
          <w:b/>
          <w:sz w:val="24"/>
        </w:rPr>
        <w:t>Hỏng hóc lớn</w:t>
      </w:r>
      <w:r>
        <w:rPr>
          <w:rFonts w:hAnsi="Arial"/>
          <w:sz w:val="24"/>
        </w:rPr>
        <w:t>: Sau 14 ngày, người thuê nhà có thể chấm dứt hợp đồng và chuyển đi. Phải chuyển đi trong vòng 30 ngày. Hỏng hóc lớn khiến căn hộ không còn phù hợp và có thể sinh hoạt một cách hợp lý.</w:t>
      </w:r>
    </w:p>
    <w:p w:rsidR="00A34758" w:rsidRPr="004952F7" w:rsidRDefault="00A34758">
      <w:pPr>
        <w:pStyle w:val="BodyText"/>
        <w:spacing w:before="1"/>
        <w:ind w:left="0" w:firstLine="0"/>
        <w:rPr>
          <w:rFonts w:hAnsi="Arial" w:cs="Arial"/>
          <w:sz w:val="22"/>
        </w:rPr>
      </w:pPr>
    </w:p>
    <w:p w:rsidR="00A34758" w:rsidRPr="004952F7" w:rsidRDefault="004952F7">
      <w:pPr>
        <w:spacing w:line="225" w:lineRule="auto"/>
        <w:ind w:left="160" w:right="491"/>
        <w:rPr>
          <w:rFonts w:hAnsi="Arial" w:cs="Arial"/>
          <w:sz w:val="24"/>
        </w:rPr>
      </w:pPr>
      <w:r>
        <w:rPr>
          <w:rFonts w:hAnsi="Arial"/>
          <w:b/>
          <w:sz w:val="24"/>
        </w:rPr>
        <w:t xml:space="preserve">Biện pháp khắc phục nếu chủ nhà không cung cấp các dịch vụ cần thiết </w:t>
      </w:r>
      <w:r>
        <w:rPr>
          <w:rFonts w:hAnsi="Arial"/>
          <w:sz w:val="24"/>
        </w:rPr>
        <w:t>(hệ thống sưởi ấm, nước vòi hoặc nước nóng, điện, gas, cấp thoát nước; và việc vi phạm gây ra nguy hiểm ngay lập tức cho sức khỏe và sự an toàn):</w:t>
      </w:r>
    </w:p>
    <w:p w:rsidR="00A34758" w:rsidRPr="004952F7" w:rsidRDefault="004952F7">
      <w:pPr>
        <w:pStyle w:val="ListParagraph"/>
        <w:numPr>
          <w:ilvl w:val="0"/>
          <w:numId w:val="3"/>
        </w:numPr>
        <w:tabs>
          <w:tab w:val="left" w:pos="880"/>
        </w:tabs>
        <w:spacing w:before="192"/>
        <w:rPr>
          <w:rFonts w:hAnsi="Arial" w:cs="Arial"/>
          <w:sz w:val="24"/>
        </w:rPr>
      </w:pPr>
      <w:r>
        <w:rPr>
          <w:rFonts w:hAnsi="Arial"/>
          <w:b/>
          <w:sz w:val="24"/>
        </w:rPr>
        <w:t xml:space="preserve">Tự trang bị dịch vụ </w:t>
      </w:r>
      <w:r>
        <w:rPr>
          <w:rFonts w:hAnsi="Arial"/>
          <w:sz w:val="24"/>
        </w:rPr>
        <w:t>và trừ chi phí đó khi trả tiền thuê nhà, HOẶC</w:t>
      </w:r>
    </w:p>
    <w:p w:rsidR="00A34758" w:rsidRPr="004952F7" w:rsidRDefault="004952F7">
      <w:pPr>
        <w:pStyle w:val="ListParagraph"/>
        <w:numPr>
          <w:ilvl w:val="0"/>
          <w:numId w:val="3"/>
        </w:numPr>
        <w:tabs>
          <w:tab w:val="left" w:pos="880"/>
        </w:tabs>
        <w:spacing w:before="188"/>
        <w:rPr>
          <w:rFonts w:hAnsi="Arial" w:cs="Arial"/>
          <w:sz w:val="24"/>
        </w:rPr>
      </w:pPr>
      <w:r>
        <w:rPr>
          <w:rFonts w:hAnsi="Arial"/>
          <w:b/>
          <w:sz w:val="24"/>
        </w:rPr>
        <w:t xml:space="preserve">Kiện đòi bồi thường thiệt hại </w:t>
      </w:r>
      <w:r>
        <w:rPr>
          <w:rFonts w:hAnsi="Arial"/>
          <w:sz w:val="24"/>
        </w:rPr>
        <w:t>dựa trên giá trị giảm đi của căn hộ, HOẶC</w:t>
      </w:r>
    </w:p>
    <w:p w:rsidR="00A34758" w:rsidRPr="004952F7" w:rsidRDefault="004952F7">
      <w:pPr>
        <w:pStyle w:val="ListParagraph"/>
        <w:numPr>
          <w:ilvl w:val="0"/>
          <w:numId w:val="3"/>
        </w:numPr>
        <w:tabs>
          <w:tab w:val="left" w:pos="880"/>
        </w:tabs>
        <w:spacing w:before="201" w:line="225" w:lineRule="auto"/>
        <w:ind w:right="726"/>
        <w:rPr>
          <w:rFonts w:hAnsi="Arial" w:cs="Arial"/>
          <w:sz w:val="24"/>
        </w:rPr>
      </w:pPr>
      <w:r>
        <w:rPr>
          <w:rFonts w:hAnsi="Arial"/>
          <w:b/>
          <w:sz w:val="24"/>
        </w:rPr>
        <w:t xml:space="preserve">Chuyển đến nhà ở thay thế </w:t>
      </w:r>
      <w:r>
        <w:rPr>
          <w:rFonts w:hAnsi="Arial"/>
          <w:sz w:val="24"/>
        </w:rPr>
        <w:t xml:space="preserve">cho đến khi chủ nhà sửa chữa hư hỏng; </w:t>
      </w:r>
      <w:r>
        <w:rPr>
          <w:rFonts w:hAnsi="Arial"/>
          <w:sz w:val="24"/>
        </w:rPr>
        <w:lastRenderedPageBreak/>
        <w:t>không trả tiền thuê nhà; chủ nhà phải trả chi phí nhà ở thay thế tối đa bằng chi phí thuê nhà, HOẶC</w:t>
      </w:r>
    </w:p>
    <w:p w:rsidR="00A34758" w:rsidRPr="004952F7" w:rsidRDefault="004952F7">
      <w:pPr>
        <w:pStyle w:val="ListParagraph"/>
        <w:numPr>
          <w:ilvl w:val="0"/>
          <w:numId w:val="3"/>
        </w:numPr>
        <w:tabs>
          <w:tab w:val="left" w:pos="880"/>
        </w:tabs>
        <w:spacing w:before="207" w:line="223" w:lineRule="auto"/>
        <w:ind w:right="388"/>
        <w:rPr>
          <w:rFonts w:hAnsi="Arial" w:cs="Arial"/>
          <w:sz w:val="24"/>
        </w:rPr>
      </w:pPr>
      <w:r>
        <w:rPr>
          <w:rFonts w:hAnsi="Arial"/>
          <w:sz w:val="24"/>
        </w:rPr>
        <w:t xml:space="preserve">Nếu hư hỏng không phải do lỗi của nhà cung cấp dịch vụ tiện ích, hãy yêu cầu chủ nhà sửa chữa hư hỏng </w:t>
      </w:r>
      <w:r>
        <w:rPr>
          <w:rFonts w:hAnsi="Arial"/>
          <w:b/>
          <w:sz w:val="24"/>
        </w:rPr>
        <w:t>trong vòng 24 giờ</w:t>
      </w:r>
      <w:r>
        <w:rPr>
          <w:rFonts w:hAnsi="Arial"/>
          <w:sz w:val="24"/>
        </w:rPr>
        <w:t xml:space="preserve">; nếu chủ nhà không sửa chữa, </w:t>
      </w:r>
      <w:r>
        <w:rPr>
          <w:rFonts w:hAnsi="Arial"/>
          <w:b/>
          <w:sz w:val="24"/>
        </w:rPr>
        <w:t xml:space="preserve">giữ lại phần tiền thuê nhà </w:t>
      </w:r>
      <w:r>
        <w:rPr>
          <w:rFonts w:hAnsi="Arial"/>
          <w:sz w:val="24"/>
        </w:rPr>
        <w:t>tương đương với giá trị giảm đi, HOẶC</w:t>
      </w:r>
    </w:p>
    <w:p w:rsidR="00A34758" w:rsidRPr="004952F7" w:rsidRDefault="004952F7">
      <w:pPr>
        <w:pStyle w:val="ListParagraph"/>
        <w:numPr>
          <w:ilvl w:val="0"/>
          <w:numId w:val="3"/>
        </w:numPr>
        <w:tabs>
          <w:tab w:val="left" w:pos="880"/>
        </w:tabs>
        <w:spacing w:before="209" w:line="223" w:lineRule="auto"/>
        <w:ind w:right="388"/>
        <w:rPr>
          <w:rFonts w:hAnsi="Arial" w:cs="Arial"/>
          <w:sz w:val="24"/>
        </w:rPr>
      </w:pPr>
      <w:r>
        <w:rPr>
          <w:rFonts w:hAnsi="Arial"/>
          <w:sz w:val="24"/>
        </w:rPr>
        <w:t xml:space="preserve">Nếu hư hỏng không phải do lỗi của nhà cung cấp dịch vụ tiện ích, hãy yêu cầu chủ nhà sửa chữa hư hỏng </w:t>
      </w:r>
      <w:r>
        <w:rPr>
          <w:rFonts w:hAnsi="Arial"/>
          <w:b/>
          <w:sz w:val="24"/>
        </w:rPr>
        <w:t>trong vòng 72 giờ</w:t>
      </w:r>
      <w:r>
        <w:rPr>
          <w:rFonts w:hAnsi="Arial"/>
          <w:sz w:val="24"/>
        </w:rPr>
        <w:t xml:space="preserve">; nếu chủ nhà không sửa chữa, </w:t>
      </w:r>
      <w:r>
        <w:rPr>
          <w:rFonts w:hAnsi="Arial"/>
          <w:b/>
          <w:sz w:val="24"/>
        </w:rPr>
        <w:t xml:space="preserve">chấm dứt hợp thồng thuê </w:t>
      </w:r>
      <w:r>
        <w:rPr>
          <w:rFonts w:hAnsi="Arial"/>
          <w:sz w:val="24"/>
        </w:rPr>
        <w:t>và chuyển đi trong vòng 30 ngày.</w:t>
      </w:r>
    </w:p>
    <w:p w:rsidR="00A34758" w:rsidRPr="004952F7" w:rsidRDefault="00A34758">
      <w:pPr>
        <w:pStyle w:val="BodyText"/>
        <w:spacing w:before="1"/>
        <w:ind w:left="0" w:firstLine="0"/>
        <w:rPr>
          <w:rFonts w:hAnsi="Arial" w:cs="Arial"/>
          <w:sz w:val="21"/>
        </w:rPr>
      </w:pPr>
    </w:p>
    <w:p w:rsidR="00A34758" w:rsidRPr="004952F7" w:rsidRDefault="004952F7">
      <w:pPr>
        <w:ind w:left="160"/>
        <w:rPr>
          <w:rFonts w:hAnsi="Arial" w:cs="Arial"/>
          <w:sz w:val="24"/>
        </w:rPr>
      </w:pPr>
      <w:r>
        <w:rPr>
          <w:rFonts w:hAnsi="Arial"/>
          <w:b/>
          <w:sz w:val="24"/>
        </w:rPr>
        <w:t xml:space="preserve">Biện pháp khắc phục thiệt hại do hỏa hoạn/thương vong </w:t>
      </w:r>
      <w:r>
        <w:rPr>
          <w:rFonts w:hAnsi="Arial"/>
          <w:sz w:val="24"/>
        </w:rPr>
        <w:t>(do vật liệu không tuân thủ; không phải lỗi của người thuê nhà):</w:t>
      </w:r>
    </w:p>
    <w:p w:rsidR="00A34758" w:rsidRPr="004952F7" w:rsidRDefault="004952F7">
      <w:pPr>
        <w:pStyle w:val="ListParagraph"/>
        <w:numPr>
          <w:ilvl w:val="0"/>
          <w:numId w:val="2"/>
        </w:numPr>
        <w:tabs>
          <w:tab w:val="left" w:pos="880"/>
        </w:tabs>
        <w:spacing w:before="188"/>
        <w:rPr>
          <w:rFonts w:hAnsi="Arial" w:cs="Arial"/>
          <w:sz w:val="24"/>
        </w:rPr>
      </w:pPr>
      <w:r>
        <w:rPr>
          <w:rFonts w:hAnsi="Arial"/>
          <w:b/>
          <w:sz w:val="24"/>
        </w:rPr>
        <w:t>Chuyển đi ngay lập tức</w:t>
      </w:r>
      <w:r>
        <w:rPr>
          <w:rFonts w:hAnsi="Arial"/>
          <w:sz w:val="24"/>
        </w:rPr>
        <w:t>; thông báo cho chủ nhà trong vòng 14 ngày về ý định chấm dứt hợp đồng thuê; HOẶC</w:t>
      </w:r>
    </w:p>
    <w:p w:rsidR="00A34758" w:rsidRPr="004952F7" w:rsidRDefault="004952F7">
      <w:pPr>
        <w:pStyle w:val="ListParagraph"/>
        <w:numPr>
          <w:ilvl w:val="0"/>
          <w:numId w:val="2"/>
        </w:numPr>
        <w:tabs>
          <w:tab w:val="left" w:pos="880"/>
        </w:tabs>
        <w:spacing w:before="188" w:line="296" w:lineRule="exact"/>
        <w:rPr>
          <w:rFonts w:hAnsi="Arial" w:cs="Arial"/>
          <w:sz w:val="24"/>
        </w:rPr>
      </w:pPr>
      <w:r>
        <w:rPr>
          <w:rFonts w:hAnsi="Arial"/>
          <w:b/>
          <w:sz w:val="24"/>
        </w:rPr>
        <w:t xml:space="preserve">Ở lại và giữ lại một phần tiền thuê nhà </w:t>
      </w:r>
      <w:r>
        <w:rPr>
          <w:rFonts w:hAnsi="Arial"/>
          <w:sz w:val="24"/>
        </w:rPr>
        <w:t>dựa trên giá trị giảm đi (nếu căn hộ vẫn có thể ở được).</w:t>
      </w:r>
    </w:p>
    <w:p w:rsidR="00A34758" w:rsidRPr="004952F7" w:rsidRDefault="004952F7">
      <w:pPr>
        <w:pStyle w:val="ListParagraph"/>
        <w:numPr>
          <w:ilvl w:val="1"/>
          <w:numId w:val="2"/>
        </w:numPr>
        <w:tabs>
          <w:tab w:val="left" w:pos="1599"/>
          <w:tab w:val="left" w:pos="1600"/>
        </w:tabs>
        <w:spacing w:line="286" w:lineRule="exact"/>
        <w:rPr>
          <w:rFonts w:hAnsi="Arial" w:cs="Arial"/>
          <w:b/>
          <w:sz w:val="24"/>
        </w:rPr>
      </w:pPr>
      <w:r>
        <w:rPr>
          <w:rFonts w:hAnsi="Arial"/>
          <w:sz w:val="24"/>
        </w:rPr>
        <w:t xml:space="preserve">Nếu chủ nhà không sửa chữa căn hộ </w:t>
      </w:r>
      <w:r>
        <w:rPr>
          <w:rFonts w:hAnsi="Arial"/>
          <w:b/>
          <w:sz w:val="24"/>
        </w:rPr>
        <w:t>“cẩn thận và trong thời gian hợp lý”,</w:t>
      </w:r>
    </w:p>
    <w:p w:rsidR="00A34758" w:rsidRPr="004952F7" w:rsidRDefault="004952F7" w:rsidP="004952F7">
      <w:pPr>
        <w:pStyle w:val="BodyText"/>
        <w:spacing w:line="295" w:lineRule="exact"/>
        <w:ind w:left="1600" w:firstLine="0"/>
        <w:rPr>
          <w:rFonts w:hAnsi="Arial" w:cs="Arial"/>
        </w:rPr>
      </w:pPr>
      <w:r>
        <w:rPr>
          <w:rFonts w:hAnsi="Arial"/>
        </w:rPr>
        <w:t>người thuê nhà có thể thông báo cho chủ nhà về kế hoạch chấm dứt hợp đồng trong vòng 14 ngày.</w:t>
      </w:r>
    </w:p>
    <w:sectPr w:rsidR="00A34758" w:rsidRPr="004952F7" w:rsidSect="004952F7">
      <w:footerReference w:type="default" r:id="rId7"/>
      <w:pgSz w:w="12240" w:h="15840"/>
      <w:pgMar w:top="1400" w:right="1280" w:bottom="1020" w:left="1280" w:header="0" w:footer="83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E03" w:rsidRDefault="003B4E03">
      <w:r>
        <w:separator/>
      </w:r>
    </w:p>
  </w:endnote>
  <w:endnote w:type="continuationSeparator" w:id="0">
    <w:p w:rsidR="003B4E03" w:rsidRDefault="003B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oania">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58" w:rsidRDefault="003B4E03">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301.25pt;margin-top:740.55pt;width:8.15pt;height:14.3pt;z-index:-251658752;mso-position-horizontal-relative:page;mso-position-vertical-relative:page" filled="f" stroked="f">
          <v:textbox inset="0,0,0,0">
            <w:txbxContent>
              <w:p w:rsidR="00A34758" w:rsidRDefault="004952F7">
                <w:pPr>
                  <w:spacing w:before="12"/>
                  <w:ind w:left="20"/>
                </w:pPr>
                <w:r>
                  <w:t>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E03" w:rsidRDefault="003B4E03">
      <w:r>
        <w:separator/>
      </w:r>
    </w:p>
  </w:footnote>
  <w:footnote w:type="continuationSeparator" w:id="0">
    <w:p w:rsidR="003B4E03" w:rsidRDefault="003B4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2F19"/>
    <w:multiLevelType w:val="hybridMultilevel"/>
    <w:tmpl w:val="FB2436C8"/>
    <w:lvl w:ilvl="0" w:tplc="2764B4C8">
      <w:numFmt w:val="bullet"/>
      <w:lvlText w:val="●"/>
      <w:lvlJc w:val="left"/>
      <w:pPr>
        <w:ind w:left="880" w:hanging="360"/>
      </w:pPr>
      <w:rPr>
        <w:rFonts w:ascii="Arial" w:eastAsia="Arial" w:hAnsi="Arial" w:cs="Arial" w:hint="default"/>
        <w:spacing w:val="-13"/>
        <w:w w:val="79"/>
        <w:sz w:val="24"/>
        <w:szCs w:val="24"/>
        <w:lang w:val="en-US" w:eastAsia="en-US" w:bidi="ar-SA"/>
      </w:rPr>
    </w:lvl>
    <w:lvl w:ilvl="1" w:tplc="D5F8041C">
      <w:numFmt w:val="bullet"/>
      <w:lvlText w:val="○"/>
      <w:lvlJc w:val="left"/>
      <w:pPr>
        <w:ind w:left="1600" w:hanging="360"/>
      </w:pPr>
      <w:rPr>
        <w:rFonts w:ascii="Arial" w:eastAsia="Arial" w:hAnsi="Arial" w:cs="Arial" w:hint="default"/>
        <w:spacing w:val="-8"/>
        <w:w w:val="91"/>
        <w:sz w:val="24"/>
        <w:szCs w:val="24"/>
        <w:lang w:val="en-US" w:eastAsia="en-US" w:bidi="ar-SA"/>
      </w:rPr>
    </w:lvl>
    <w:lvl w:ilvl="2" w:tplc="0BD40EB0">
      <w:numFmt w:val="bullet"/>
      <w:lvlText w:val="•"/>
      <w:lvlJc w:val="left"/>
      <w:pPr>
        <w:ind w:left="2497" w:hanging="360"/>
      </w:pPr>
      <w:rPr>
        <w:rFonts w:hint="default"/>
        <w:lang w:val="en-US" w:eastAsia="en-US" w:bidi="ar-SA"/>
      </w:rPr>
    </w:lvl>
    <w:lvl w:ilvl="3" w:tplc="FA063D1E">
      <w:numFmt w:val="bullet"/>
      <w:lvlText w:val="•"/>
      <w:lvlJc w:val="left"/>
      <w:pPr>
        <w:ind w:left="3395" w:hanging="360"/>
      </w:pPr>
      <w:rPr>
        <w:rFonts w:hint="default"/>
        <w:lang w:val="en-US" w:eastAsia="en-US" w:bidi="ar-SA"/>
      </w:rPr>
    </w:lvl>
    <w:lvl w:ilvl="4" w:tplc="2864070E">
      <w:numFmt w:val="bullet"/>
      <w:lvlText w:val="•"/>
      <w:lvlJc w:val="left"/>
      <w:pPr>
        <w:ind w:left="4293" w:hanging="360"/>
      </w:pPr>
      <w:rPr>
        <w:rFonts w:hint="default"/>
        <w:lang w:val="en-US" w:eastAsia="en-US" w:bidi="ar-SA"/>
      </w:rPr>
    </w:lvl>
    <w:lvl w:ilvl="5" w:tplc="EA6CDF0C">
      <w:numFmt w:val="bullet"/>
      <w:lvlText w:val="•"/>
      <w:lvlJc w:val="left"/>
      <w:pPr>
        <w:ind w:left="5191" w:hanging="360"/>
      </w:pPr>
      <w:rPr>
        <w:rFonts w:hint="default"/>
        <w:lang w:val="en-US" w:eastAsia="en-US" w:bidi="ar-SA"/>
      </w:rPr>
    </w:lvl>
    <w:lvl w:ilvl="6" w:tplc="69508394">
      <w:numFmt w:val="bullet"/>
      <w:lvlText w:val="•"/>
      <w:lvlJc w:val="left"/>
      <w:pPr>
        <w:ind w:left="6088" w:hanging="360"/>
      </w:pPr>
      <w:rPr>
        <w:rFonts w:hint="default"/>
        <w:lang w:val="en-US" w:eastAsia="en-US" w:bidi="ar-SA"/>
      </w:rPr>
    </w:lvl>
    <w:lvl w:ilvl="7" w:tplc="562EB514">
      <w:numFmt w:val="bullet"/>
      <w:lvlText w:val="•"/>
      <w:lvlJc w:val="left"/>
      <w:pPr>
        <w:ind w:left="6986" w:hanging="360"/>
      </w:pPr>
      <w:rPr>
        <w:rFonts w:hint="default"/>
        <w:lang w:val="en-US" w:eastAsia="en-US" w:bidi="ar-SA"/>
      </w:rPr>
    </w:lvl>
    <w:lvl w:ilvl="8" w:tplc="2E4A5762">
      <w:numFmt w:val="bullet"/>
      <w:lvlText w:val="•"/>
      <w:lvlJc w:val="left"/>
      <w:pPr>
        <w:ind w:left="7884" w:hanging="360"/>
      </w:pPr>
      <w:rPr>
        <w:rFonts w:hint="default"/>
        <w:lang w:val="en-US" w:eastAsia="en-US" w:bidi="ar-SA"/>
      </w:rPr>
    </w:lvl>
  </w:abstractNum>
  <w:abstractNum w:abstractNumId="1" w15:restartNumberingAfterBreak="0">
    <w:nsid w:val="30672517"/>
    <w:multiLevelType w:val="hybridMultilevel"/>
    <w:tmpl w:val="2CC8605E"/>
    <w:lvl w:ilvl="0" w:tplc="72E05764">
      <w:start w:val="1"/>
      <w:numFmt w:val="decimal"/>
      <w:lvlText w:val="%1."/>
      <w:lvlJc w:val="left"/>
      <w:pPr>
        <w:ind w:left="880" w:hanging="360"/>
        <w:jc w:val="left"/>
      </w:pPr>
      <w:rPr>
        <w:rFonts w:ascii="Aroania" w:eastAsia="Aroania" w:hAnsi="Aroania" w:cs="Aroania" w:hint="default"/>
        <w:w w:val="88"/>
        <w:sz w:val="24"/>
        <w:szCs w:val="24"/>
        <w:lang w:val="en-US" w:eastAsia="en-US" w:bidi="ar-SA"/>
      </w:rPr>
    </w:lvl>
    <w:lvl w:ilvl="1" w:tplc="FE50D9A8">
      <w:numFmt w:val="bullet"/>
      <w:lvlText w:val="•"/>
      <w:lvlJc w:val="left"/>
      <w:pPr>
        <w:ind w:left="1760" w:hanging="360"/>
      </w:pPr>
      <w:rPr>
        <w:rFonts w:hint="default"/>
        <w:lang w:val="en-US" w:eastAsia="en-US" w:bidi="ar-SA"/>
      </w:rPr>
    </w:lvl>
    <w:lvl w:ilvl="2" w:tplc="AC50FA72">
      <w:numFmt w:val="bullet"/>
      <w:lvlText w:val="•"/>
      <w:lvlJc w:val="left"/>
      <w:pPr>
        <w:ind w:left="2640" w:hanging="360"/>
      </w:pPr>
      <w:rPr>
        <w:rFonts w:hint="default"/>
        <w:lang w:val="en-US" w:eastAsia="en-US" w:bidi="ar-SA"/>
      </w:rPr>
    </w:lvl>
    <w:lvl w:ilvl="3" w:tplc="AEC09D9E">
      <w:numFmt w:val="bullet"/>
      <w:lvlText w:val="•"/>
      <w:lvlJc w:val="left"/>
      <w:pPr>
        <w:ind w:left="3520" w:hanging="360"/>
      </w:pPr>
      <w:rPr>
        <w:rFonts w:hint="default"/>
        <w:lang w:val="en-US" w:eastAsia="en-US" w:bidi="ar-SA"/>
      </w:rPr>
    </w:lvl>
    <w:lvl w:ilvl="4" w:tplc="510C93A2">
      <w:numFmt w:val="bullet"/>
      <w:lvlText w:val="•"/>
      <w:lvlJc w:val="left"/>
      <w:pPr>
        <w:ind w:left="4400" w:hanging="360"/>
      </w:pPr>
      <w:rPr>
        <w:rFonts w:hint="default"/>
        <w:lang w:val="en-US" w:eastAsia="en-US" w:bidi="ar-SA"/>
      </w:rPr>
    </w:lvl>
    <w:lvl w:ilvl="5" w:tplc="4C9ED7B8">
      <w:numFmt w:val="bullet"/>
      <w:lvlText w:val="•"/>
      <w:lvlJc w:val="left"/>
      <w:pPr>
        <w:ind w:left="5280" w:hanging="360"/>
      </w:pPr>
      <w:rPr>
        <w:rFonts w:hint="default"/>
        <w:lang w:val="en-US" w:eastAsia="en-US" w:bidi="ar-SA"/>
      </w:rPr>
    </w:lvl>
    <w:lvl w:ilvl="6" w:tplc="4B0EA95C">
      <w:numFmt w:val="bullet"/>
      <w:lvlText w:val="•"/>
      <w:lvlJc w:val="left"/>
      <w:pPr>
        <w:ind w:left="6160" w:hanging="360"/>
      </w:pPr>
      <w:rPr>
        <w:rFonts w:hint="default"/>
        <w:lang w:val="en-US" w:eastAsia="en-US" w:bidi="ar-SA"/>
      </w:rPr>
    </w:lvl>
    <w:lvl w:ilvl="7" w:tplc="ACB41CD4">
      <w:numFmt w:val="bullet"/>
      <w:lvlText w:val="•"/>
      <w:lvlJc w:val="left"/>
      <w:pPr>
        <w:ind w:left="7040" w:hanging="360"/>
      </w:pPr>
      <w:rPr>
        <w:rFonts w:hint="default"/>
        <w:lang w:val="en-US" w:eastAsia="en-US" w:bidi="ar-SA"/>
      </w:rPr>
    </w:lvl>
    <w:lvl w:ilvl="8" w:tplc="5E2AD630">
      <w:numFmt w:val="bullet"/>
      <w:lvlText w:val="•"/>
      <w:lvlJc w:val="left"/>
      <w:pPr>
        <w:ind w:left="7920" w:hanging="360"/>
      </w:pPr>
      <w:rPr>
        <w:rFonts w:hint="default"/>
        <w:lang w:val="en-US" w:eastAsia="en-US" w:bidi="ar-SA"/>
      </w:rPr>
    </w:lvl>
  </w:abstractNum>
  <w:abstractNum w:abstractNumId="2" w15:restartNumberingAfterBreak="0">
    <w:nsid w:val="3BDD545F"/>
    <w:multiLevelType w:val="hybridMultilevel"/>
    <w:tmpl w:val="F3745ACA"/>
    <w:lvl w:ilvl="0" w:tplc="6C9AB07E">
      <w:numFmt w:val="bullet"/>
      <w:lvlText w:val="●"/>
      <w:lvlJc w:val="left"/>
      <w:pPr>
        <w:ind w:left="880" w:hanging="360"/>
      </w:pPr>
      <w:rPr>
        <w:rFonts w:ascii="Arial" w:eastAsia="Arial" w:hAnsi="Arial" w:cs="Arial" w:hint="default"/>
        <w:b/>
        <w:bCs/>
        <w:spacing w:val="-13"/>
        <w:w w:val="83"/>
        <w:sz w:val="24"/>
        <w:szCs w:val="24"/>
        <w:lang w:val="en-US" w:eastAsia="en-US" w:bidi="ar-SA"/>
      </w:rPr>
    </w:lvl>
    <w:lvl w:ilvl="1" w:tplc="5BA2C71A">
      <w:numFmt w:val="bullet"/>
      <w:lvlText w:val="•"/>
      <w:lvlJc w:val="left"/>
      <w:pPr>
        <w:ind w:left="1760" w:hanging="360"/>
      </w:pPr>
      <w:rPr>
        <w:rFonts w:hint="default"/>
        <w:lang w:val="en-US" w:eastAsia="en-US" w:bidi="ar-SA"/>
      </w:rPr>
    </w:lvl>
    <w:lvl w:ilvl="2" w:tplc="D0E8CA68">
      <w:numFmt w:val="bullet"/>
      <w:lvlText w:val="•"/>
      <w:lvlJc w:val="left"/>
      <w:pPr>
        <w:ind w:left="2640" w:hanging="360"/>
      </w:pPr>
      <w:rPr>
        <w:rFonts w:hint="default"/>
        <w:lang w:val="en-US" w:eastAsia="en-US" w:bidi="ar-SA"/>
      </w:rPr>
    </w:lvl>
    <w:lvl w:ilvl="3" w:tplc="B2027850">
      <w:numFmt w:val="bullet"/>
      <w:lvlText w:val="•"/>
      <w:lvlJc w:val="left"/>
      <w:pPr>
        <w:ind w:left="3520" w:hanging="360"/>
      </w:pPr>
      <w:rPr>
        <w:rFonts w:hint="default"/>
        <w:lang w:val="en-US" w:eastAsia="en-US" w:bidi="ar-SA"/>
      </w:rPr>
    </w:lvl>
    <w:lvl w:ilvl="4" w:tplc="0ED41C8C">
      <w:numFmt w:val="bullet"/>
      <w:lvlText w:val="•"/>
      <w:lvlJc w:val="left"/>
      <w:pPr>
        <w:ind w:left="4400" w:hanging="360"/>
      </w:pPr>
      <w:rPr>
        <w:rFonts w:hint="default"/>
        <w:lang w:val="en-US" w:eastAsia="en-US" w:bidi="ar-SA"/>
      </w:rPr>
    </w:lvl>
    <w:lvl w:ilvl="5" w:tplc="70ECAFD2">
      <w:numFmt w:val="bullet"/>
      <w:lvlText w:val="•"/>
      <w:lvlJc w:val="left"/>
      <w:pPr>
        <w:ind w:left="5280" w:hanging="360"/>
      </w:pPr>
      <w:rPr>
        <w:rFonts w:hint="default"/>
        <w:lang w:val="en-US" w:eastAsia="en-US" w:bidi="ar-SA"/>
      </w:rPr>
    </w:lvl>
    <w:lvl w:ilvl="6" w:tplc="7C204424">
      <w:numFmt w:val="bullet"/>
      <w:lvlText w:val="•"/>
      <w:lvlJc w:val="left"/>
      <w:pPr>
        <w:ind w:left="6160" w:hanging="360"/>
      </w:pPr>
      <w:rPr>
        <w:rFonts w:hint="default"/>
        <w:lang w:val="en-US" w:eastAsia="en-US" w:bidi="ar-SA"/>
      </w:rPr>
    </w:lvl>
    <w:lvl w:ilvl="7" w:tplc="7DAA5CBC">
      <w:numFmt w:val="bullet"/>
      <w:lvlText w:val="•"/>
      <w:lvlJc w:val="left"/>
      <w:pPr>
        <w:ind w:left="7040" w:hanging="360"/>
      </w:pPr>
      <w:rPr>
        <w:rFonts w:hint="default"/>
        <w:lang w:val="en-US" w:eastAsia="en-US" w:bidi="ar-SA"/>
      </w:rPr>
    </w:lvl>
    <w:lvl w:ilvl="8" w:tplc="EE2463C2">
      <w:numFmt w:val="bullet"/>
      <w:lvlText w:val="•"/>
      <w:lvlJc w:val="left"/>
      <w:pPr>
        <w:ind w:left="7920" w:hanging="360"/>
      </w:pPr>
      <w:rPr>
        <w:rFonts w:hint="default"/>
        <w:lang w:val="en-US" w:eastAsia="en-US" w:bidi="ar-SA"/>
      </w:rPr>
    </w:lvl>
  </w:abstractNum>
  <w:abstractNum w:abstractNumId="3" w15:restartNumberingAfterBreak="0">
    <w:nsid w:val="3DF228F9"/>
    <w:multiLevelType w:val="hybridMultilevel"/>
    <w:tmpl w:val="2F6EE774"/>
    <w:lvl w:ilvl="0" w:tplc="104A4214">
      <w:numFmt w:val="bullet"/>
      <w:lvlText w:val="●"/>
      <w:lvlJc w:val="left"/>
      <w:pPr>
        <w:ind w:left="880" w:hanging="360"/>
      </w:pPr>
      <w:rPr>
        <w:rFonts w:ascii="Arial" w:eastAsia="Arial" w:hAnsi="Arial" w:cs="Arial" w:hint="default"/>
        <w:spacing w:val="-13"/>
        <w:w w:val="79"/>
        <w:sz w:val="24"/>
        <w:szCs w:val="24"/>
        <w:lang w:val="en-US" w:eastAsia="en-US" w:bidi="ar-SA"/>
      </w:rPr>
    </w:lvl>
    <w:lvl w:ilvl="1" w:tplc="61F0B320">
      <w:numFmt w:val="bullet"/>
      <w:lvlText w:val="○"/>
      <w:lvlJc w:val="left"/>
      <w:pPr>
        <w:ind w:left="1600" w:hanging="360"/>
      </w:pPr>
      <w:rPr>
        <w:rFonts w:ascii="Arial" w:eastAsia="Arial" w:hAnsi="Arial" w:cs="Arial" w:hint="default"/>
        <w:spacing w:val="-8"/>
        <w:w w:val="87"/>
        <w:sz w:val="24"/>
        <w:szCs w:val="24"/>
        <w:lang w:val="en-US" w:eastAsia="en-US" w:bidi="ar-SA"/>
      </w:rPr>
    </w:lvl>
    <w:lvl w:ilvl="2" w:tplc="40DA7934">
      <w:numFmt w:val="bullet"/>
      <w:lvlText w:val="•"/>
      <w:lvlJc w:val="left"/>
      <w:pPr>
        <w:ind w:left="2100" w:hanging="360"/>
      </w:pPr>
      <w:rPr>
        <w:rFonts w:hint="default"/>
        <w:lang w:val="en-US" w:eastAsia="en-US" w:bidi="ar-SA"/>
      </w:rPr>
    </w:lvl>
    <w:lvl w:ilvl="3" w:tplc="3FA2B108">
      <w:numFmt w:val="bullet"/>
      <w:lvlText w:val="•"/>
      <w:lvlJc w:val="left"/>
      <w:pPr>
        <w:ind w:left="3047" w:hanging="360"/>
      </w:pPr>
      <w:rPr>
        <w:rFonts w:hint="default"/>
        <w:lang w:val="en-US" w:eastAsia="en-US" w:bidi="ar-SA"/>
      </w:rPr>
    </w:lvl>
    <w:lvl w:ilvl="4" w:tplc="10B0AE6C">
      <w:numFmt w:val="bullet"/>
      <w:lvlText w:val="•"/>
      <w:lvlJc w:val="left"/>
      <w:pPr>
        <w:ind w:left="3995" w:hanging="360"/>
      </w:pPr>
      <w:rPr>
        <w:rFonts w:hint="default"/>
        <w:lang w:val="en-US" w:eastAsia="en-US" w:bidi="ar-SA"/>
      </w:rPr>
    </w:lvl>
    <w:lvl w:ilvl="5" w:tplc="D37A98BE">
      <w:numFmt w:val="bullet"/>
      <w:lvlText w:val="•"/>
      <w:lvlJc w:val="left"/>
      <w:pPr>
        <w:ind w:left="4942" w:hanging="360"/>
      </w:pPr>
      <w:rPr>
        <w:rFonts w:hint="default"/>
        <w:lang w:val="en-US" w:eastAsia="en-US" w:bidi="ar-SA"/>
      </w:rPr>
    </w:lvl>
    <w:lvl w:ilvl="6" w:tplc="3EAEF3DA">
      <w:numFmt w:val="bullet"/>
      <w:lvlText w:val="•"/>
      <w:lvlJc w:val="left"/>
      <w:pPr>
        <w:ind w:left="5890" w:hanging="360"/>
      </w:pPr>
      <w:rPr>
        <w:rFonts w:hint="default"/>
        <w:lang w:val="en-US" w:eastAsia="en-US" w:bidi="ar-SA"/>
      </w:rPr>
    </w:lvl>
    <w:lvl w:ilvl="7" w:tplc="967C7B52">
      <w:numFmt w:val="bullet"/>
      <w:lvlText w:val="•"/>
      <w:lvlJc w:val="left"/>
      <w:pPr>
        <w:ind w:left="6837" w:hanging="360"/>
      </w:pPr>
      <w:rPr>
        <w:rFonts w:hint="default"/>
        <w:lang w:val="en-US" w:eastAsia="en-US" w:bidi="ar-SA"/>
      </w:rPr>
    </w:lvl>
    <w:lvl w:ilvl="8" w:tplc="626E7AF8">
      <w:numFmt w:val="bullet"/>
      <w:lvlText w:val="•"/>
      <w:lvlJc w:val="left"/>
      <w:pPr>
        <w:ind w:left="7785" w:hanging="360"/>
      </w:pPr>
      <w:rPr>
        <w:rFonts w:hint="default"/>
        <w:lang w:val="en-US" w:eastAsia="en-US" w:bidi="ar-SA"/>
      </w:rPr>
    </w:lvl>
  </w:abstractNum>
  <w:abstractNum w:abstractNumId="4" w15:restartNumberingAfterBreak="0">
    <w:nsid w:val="50424767"/>
    <w:multiLevelType w:val="hybridMultilevel"/>
    <w:tmpl w:val="F3B2A93C"/>
    <w:lvl w:ilvl="0" w:tplc="064AB954">
      <w:start w:val="1"/>
      <w:numFmt w:val="decimal"/>
      <w:lvlText w:val="%1."/>
      <w:lvlJc w:val="left"/>
      <w:pPr>
        <w:ind w:left="880" w:hanging="360"/>
        <w:jc w:val="left"/>
      </w:pPr>
      <w:rPr>
        <w:rFonts w:ascii="Aroania" w:eastAsia="Aroania" w:hAnsi="Aroania" w:cs="Aroania" w:hint="default"/>
        <w:w w:val="88"/>
        <w:sz w:val="24"/>
        <w:szCs w:val="24"/>
        <w:lang w:val="en-US" w:eastAsia="en-US" w:bidi="ar-SA"/>
      </w:rPr>
    </w:lvl>
    <w:lvl w:ilvl="1" w:tplc="672ED354">
      <w:numFmt w:val="bullet"/>
      <w:lvlText w:val="○"/>
      <w:lvlJc w:val="left"/>
      <w:pPr>
        <w:ind w:left="1600" w:hanging="360"/>
      </w:pPr>
      <w:rPr>
        <w:rFonts w:ascii="Arial" w:eastAsia="Arial" w:hAnsi="Arial" w:cs="Arial" w:hint="default"/>
        <w:spacing w:val="-13"/>
        <w:w w:val="79"/>
        <w:sz w:val="24"/>
        <w:szCs w:val="24"/>
        <w:lang w:val="en-US" w:eastAsia="en-US" w:bidi="ar-SA"/>
      </w:rPr>
    </w:lvl>
    <w:lvl w:ilvl="2" w:tplc="D506F7B8">
      <w:numFmt w:val="bullet"/>
      <w:lvlText w:val="•"/>
      <w:lvlJc w:val="left"/>
      <w:pPr>
        <w:ind w:left="2497" w:hanging="360"/>
      </w:pPr>
      <w:rPr>
        <w:rFonts w:hint="default"/>
        <w:lang w:val="en-US" w:eastAsia="en-US" w:bidi="ar-SA"/>
      </w:rPr>
    </w:lvl>
    <w:lvl w:ilvl="3" w:tplc="E5AA7002">
      <w:numFmt w:val="bullet"/>
      <w:lvlText w:val="•"/>
      <w:lvlJc w:val="left"/>
      <w:pPr>
        <w:ind w:left="3395" w:hanging="360"/>
      </w:pPr>
      <w:rPr>
        <w:rFonts w:hint="default"/>
        <w:lang w:val="en-US" w:eastAsia="en-US" w:bidi="ar-SA"/>
      </w:rPr>
    </w:lvl>
    <w:lvl w:ilvl="4" w:tplc="5A947A1C">
      <w:numFmt w:val="bullet"/>
      <w:lvlText w:val="•"/>
      <w:lvlJc w:val="left"/>
      <w:pPr>
        <w:ind w:left="4293" w:hanging="360"/>
      </w:pPr>
      <w:rPr>
        <w:rFonts w:hint="default"/>
        <w:lang w:val="en-US" w:eastAsia="en-US" w:bidi="ar-SA"/>
      </w:rPr>
    </w:lvl>
    <w:lvl w:ilvl="5" w:tplc="0680CE38">
      <w:numFmt w:val="bullet"/>
      <w:lvlText w:val="•"/>
      <w:lvlJc w:val="left"/>
      <w:pPr>
        <w:ind w:left="5191" w:hanging="360"/>
      </w:pPr>
      <w:rPr>
        <w:rFonts w:hint="default"/>
        <w:lang w:val="en-US" w:eastAsia="en-US" w:bidi="ar-SA"/>
      </w:rPr>
    </w:lvl>
    <w:lvl w:ilvl="6" w:tplc="BC0838BE">
      <w:numFmt w:val="bullet"/>
      <w:lvlText w:val="•"/>
      <w:lvlJc w:val="left"/>
      <w:pPr>
        <w:ind w:left="6088" w:hanging="360"/>
      </w:pPr>
      <w:rPr>
        <w:rFonts w:hint="default"/>
        <w:lang w:val="en-US" w:eastAsia="en-US" w:bidi="ar-SA"/>
      </w:rPr>
    </w:lvl>
    <w:lvl w:ilvl="7" w:tplc="3F7AA38E">
      <w:numFmt w:val="bullet"/>
      <w:lvlText w:val="•"/>
      <w:lvlJc w:val="left"/>
      <w:pPr>
        <w:ind w:left="6986" w:hanging="360"/>
      </w:pPr>
      <w:rPr>
        <w:rFonts w:hint="default"/>
        <w:lang w:val="en-US" w:eastAsia="en-US" w:bidi="ar-SA"/>
      </w:rPr>
    </w:lvl>
    <w:lvl w:ilvl="8" w:tplc="1FC6572A">
      <w:numFmt w:val="bullet"/>
      <w:lvlText w:val="•"/>
      <w:lvlJc w:val="left"/>
      <w:pPr>
        <w:ind w:left="7884" w:hanging="360"/>
      </w:pPr>
      <w:rPr>
        <w:rFonts w:hint="default"/>
        <w:lang w:val="en-US"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34758"/>
    <w:rsid w:val="003B4E03"/>
    <w:rsid w:val="004952F7"/>
    <w:rsid w:val="00A34758"/>
    <w:rsid w:val="00B35120"/>
    <w:rsid w:val="00FB5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8351F0C-900F-465B-9C1A-DE964F5C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oania" w:hAnsi="Aroania" w:cs="Aroania"/>
    </w:rPr>
  </w:style>
  <w:style w:type="paragraph" w:styleId="Heading1">
    <w:name w:val="heading 1"/>
    <w:basedOn w:val="Normal"/>
    <w:uiPriority w:val="1"/>
    <w:qFormat/>
    <w:pPr>
      <w:spacing w:before="40"/>
      <w:ind w:left="160" w:right="161"/>
      <w:jc w:val="center"/>
      <w:outlineLvl w:val="0"/>
    </w:pPr>
    <w:rPr>
      <w:rFonts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360"/>
    </w:pPr>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Diab</dc:creator>
  <cp:lastModifiedBy>Asmaa Diab</cp:lastModifiedBy>
  <cp:revision>4</cp:revision>
  <cp:lastPrinted>2020-05-12T00:06:00Z</cp:lastPrinted>
  <dcterms:created xsi:type="dcterms:W3CDTF">2020-05-08T15:39:00Z</dcterms:created>
  <dcterms:modified xsi:type="dcterms:W3CDTF">2020-05-12T00:07:00Z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2020-05-08T00:00:00Z</vt:filetime>
  </property>
</Properties>
</file>