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463" w:rsidRDefault="00797C0D">
      <w:pPr>
        <w:spacing w:before="36" w:line="289" w:lineRule="exact"/>
        <w:ind w:right="2"/>
        <w:jc w:val="center"/>
        <w:rPr>
          <w:rFonts w:ascii="Calibri" w:eastAsia="Calibri" w:hAnsi="Calibri" w:cs="Calibri"/>
          <w:sz w:val="24"/>
          <w:szCs w:val="24"/>
        </w:rPr>
      </w:pPr>
      <w:r>
        <w:pict>
          <v:group id="_x0000_s1026" style="position:absolute;left:0;text-align:left;margin-left:-.4pt;margin-top:-.4pt;width:.75pt;height:.75pt;z-index:-251643904;mso-position-horizontal-relative:page;mso-position-vertical-relative:page" coordorigin="-8,-8" coordsize="15,15">
            <v:group id="_x0000_s1053" style="position:absolute;width:2;height:2" coordsize="2,2">
              <v:shape id="_x0000_s1054" style="position:absolute;width:2;height:2" coordsize="0,0" path="m,l,xe" fillcolor="black" stroked="f">
                <v:path arrowok="t"/>
              </v:shape>
            </v:group>
            <v:group id="_x0000_s1051" style="position:absolute;width:2;height:2" coordsize="2,2">
              <v:shape id="_x0000_s1052" style="position:absolute;width:2;height:2" coordsize="0,0" path="m,l,xe" fillcolor="black" stroked="f">
                <v:path arrowok="t"/>
              </v:shape>
            </v:group>
            <v:group id="_x0000_s1049" style="position:absolute;width:2;height:2" coordsize="2,2">
              <v:shape id="_x0000_s1050" style="position:absolute;width:2;height:2" coordsize="0,0" path="m,l,xe" fillcolor="black" stroked="f">
                <v:path arrowok="t"/>
              </v:shape>
            </v:group>
            <v:group id="_x0000_s1047" style="position:absolute;width:2;height:2" coordsize="2,2">
              <v:shape id="_x0000_s1048" style="position:absolute;width:2;height:2" coordsize="0,0" path="m,l,xe" fillcolor="black" stroked="f">
                <v:path arrowok="t"/>
              </v:shape>
            </v:group>
            <v:group id="_x0000_s1045" style="position:absolute;width:2;height:2" coordsize="2,2">
              <v:shape id="_x0000_s1046" style="position:absolute;width:2;height:2" coordsize="0,0" path="m,l,xe" fillcolor="black" stroked="f">
                <v:path arrowok="t"/>
              </v:shape>
            </v:group>
            <v:group id="_x0000_s1043" style="position:absolute;width:2;height:2" coordsize="2,2">
              <v:shape id="_x0000_s1044" style="position:absolute;width:2;height:2" coordsize="0,0" path="m,l,xe" fillcolor="black" stroked="f">
                <v:path arrowok="t"/>
              </v:shape>
            </v:group>
            <v:group id="_x0000_s1041" style="position:absolute;width:2;height:2" coordsize="2,2">
              <v:shape id="_x0000_s1042" style="position:absolute;width:2;height:2" coordsize="0,0" path="m,l,xe" fillcolor="black" stroked="f">
                <v:path arrowok="t"/>
              </v:shape>
            </v:group>
            <v:group id="_x0000_s1039" style="position:absolute;width:2;height:2" coordsize="2,2">
              <v:shape id="_x0000_s1040" style="position:absolute;width:2;height:2" coordsize="0,0" path="m,l,xe" fillcolor="black" stroked="f">
                <v:path arrowok="t"/>
              </v:shape>
            </v:group>
            <v:group id="_x0000_s1037" style="position:absolute;width:2;height:2" coordsize="2,2">
              <v:shape id="_x0000_s1038" style="position:absolute;width:2;height:2" coordsize="0,0" path="m,l,xe" fillcolor="black" stroked="f">
                <v:path arrowok="t"/>
              </v:shape>
            </v:group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 w:rsidR="008A124F">
        <w:rPr>
          <w:rFonts w:hint="eastAsia"/>
          <w:b/>
          <w:bCs/>
        </w:rPr>
        <w:t>보증금에 대한 임차인의 권리</w:t>
      </w:r>
    </w:p>
    <w:p w:rsidR="003C0463" w:rsidRPr="008A124F" w:rsidRDefault="008A124F">
      <w:pPr>
        <w:pStyle w:val="BodyText"/>
        <w:spacing w:before="2" w:line="233" w:lineRule="auto"/>
        <w:ind w:left="3370" w:right="3373" w:firstLine="0"/>
        <w:jc w:val="center"/>
        <w:rPr>
          <w:sz w:val="22"/>
          <w:szCs w:val="22"/>
        </w:rPr>
      </w:pPr>
      <w:r w:rsidRPr="008A124F">
        <w:rPr>
          <w:rFonts w:hint="eastAsia"/>
          <w:sz w:val="22"/>
          <w:szCs w:val="22"/>
        </w:rPr>
        <w:t>업타운 시민 법률 센터 2020년 3월 개정판</w:t>
      </w:r>
    </w:p>
    <w:p w:rsidR="003C0463" w:rsidRPr="008A124F" w:rsidRDefault="003C0463">
      <w:pPr>
        <w:spacing w:before="18" w:line="260" w:lineRule="exact"/>
      </w:pPr>
    </w:p>
    <w:p w:rsidR="003C0463" w:rsidRPr="008A124F" w:rsidRDefault="008A124F">
      <w:pPr>
        <w:pStyle w:val="BodyText"/>
        <w:spacing w:line="286" w:lineRule="exact"/>
        <w:ind w:left="100" w:right="191" w:firstLine="0"/>
        <w:rPr>
          <w:sz w:val="22"/>
          <w:szCs w:val="22"/>
        </w:rPr>
      </w:pPr>
      <w:r w:rsidRPr="008A124F">
        <w:rPr>
          <w:rFonts w:hint="eastAsia"/>
          <w:b/>
          <w:sz w:val="22"/>
          <w:szCs w:val="22"/>
        </w:rPr>
        <w:t xml:space="preserve">현지 법률: </w:t>
      </w:r>
      <w:r w:rsidRPr="008A124F">
        <w:rPr>
          <w:rFonts w:hint="eastAsia"/>
          <w:sz w:val="22"/>
          <w:szCs w:val="22"/>
        </w:rPr>
        <w:t>시카고 주택 임대인 및 임차인 법령(CRLTO)에서는 보증금에 관한 임차인의 권리를 보장합니다(단, 6개 이하 유닛의 협동 조합 또는 소유자 건물은 해당되지 않으며 이러한 경우 임대 계약을 살펴보십시오).</w:t>
      </w:r>
    </w:p>
    <w:p w:rsidR="003C0463" w:rsidRPr="008A124F" w:rsidRDefault="003C0463">
      <w:pPr>
        <w:spacing w:before="4" w:line="280" w:lineRule="exact"/>
      </w:pPr>
    </w:p>
    <w:p w:rsidR="003C0463" w:rsidRPr="008A124F" w:rsidRDefault="008A124F">
      <w:pPr>
        <w:spacing w:line="286" w:lineRule="exact"/>
        <w:ind w:left="100" w:right="289"/>
        <w:rPr>
          <w:rFonts w:ascii="Calibri" w:eastAsia="Calibri" w:hAnsi="Calibri" w:cs="Calibri"/>
        </w:rPr>
      </w:pPr>
      <w:r w:rsidRPr="008A124F">
        <w:rPr>
          <w:rFonts w:ascii="Calibri" w:hint="eastAsia"/>
          <w:b/>
        </w:rPr>
        <w:t xml:space="preserve">임대인은 모든 보증금을 다른 자산과 분리하여 보관해야 합니다. </w:t>
      </w:r>
      <w:r w:rsidRPr="008A124F">
        <w:rPr>
          <w:rFonts w:ascii="Calibri" w:hint="eastAsia"/>
        </w:rPr>
        <w:t>연방 보험이 적용되는 이자 계좌에 입금해야 하고 임차인에게 해당 은행 이름을 알려야 합니다.</w:t>
      </w:r>
    </w:p>
    <w:p w:rsidR="003C0463" w:rsidRPr="008A124F" w:rsidRDefault="008A124F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295"/>
        <w:rPr>
          <w:sz w:val="22"/>
          <w:szCs w:val="22"/>
        </w:rPr>
      </w:pPr>
      <w:r w:rsidRPr="008A124F">
        <w:rPr>
          <w:rFonts w:hint="eastAsia"/>
          <w:b/>
          <w:bCs/>
          <w:sz w:val="22"/>
          <w:szCs w:val="22"/>
        </w:rPr>
        <w:t>임차인은</w:t>
      </w:r>
      <w:r w:rsidRPr="008A124F">
        <w:rPr>
          <w:rFonts w:hint="eastAsia"/>
          <w:sz w:val="22"/>
          <w:szCs w:val="22"/>
        </w:rPr>
        <w:t xml:space="preserve"> 보증금, 임대인이 보증금을 수령한 날짜 및 유닛 관련 설명을 확인하는 </w:t>
      </w:r>
      <w:r w:rsidRPr="008A124F">
        <w:rPr>
          <w:rFonts w:hint="eastAsia"/>
          <w:b/>
          <w:bCs/>
          <w:sz w:val="22"/>
          <w:szCs w:val="22"/>
        </w:rPr>
        <w:t>서명된 영수증을 받습니다</w:t>
      </w:r>
      <w:r w:rsidRPr="008A124F">
        <w:rPr>
          <w:rFonts w:hint="eastAsia"/>
          <w:sz w:val="22"/>
          <w:szCs w:val="22"/>
        </w:rPr>
        <w:t>. 임대인이 이를 제공하지 않으면 임차인은 즉시 보증금 반환을 요구할 수 있습니다.</w:t>
      </w:r>
    </w:p>
    <w:p w:rsidR="003C0463" w:rsidRPr="008A124F" w:rsidRDefault="008A124F">
      <w:pPr>
        <w:numPr>
          <w:ilvl w:val="0"/>
          <w:numId w:val="1"/>
        </w:numPr>
        <w:tabs>
          <w:tab w:val="left" w:pos="820"/>
        </w:tabs>
        <w:spacing w:before="104"/>
        <w:rPr>
          <w:rFonts w:ascii="Calibri" w:eastAsia="Calibri" w:hAnsi="Calibri" w:cs="Calibri"/>
        </w:rPr>
      </w:pPr>
      <w:r w:rsidRPr="008A124F">
        <w:rPr>
          <w:rFonts w:ascii="Calibri" w:hint="eastAsia"/>
          <w:b/>
          <w:bCs/>
        </w:rPr>
        <w:t>보증금 + 이자는 임차인의 재산입니다.</w:t>
      </w:r>
      <w:r w:rsidRPr="008A124F">
        <w:rPr>
          <w:rFonts w:ascii="Calibri" w:hint="eastAsia"/>
        </w:rPr>
        <w:t xml:space="preserve"> 임</w:t>
      </w:r>
      <w:bookmarkStart w:id="0" w:name="_GoBack"/>
      <w:bookmarkEnd w:id="0"/>
      <w:r w:rsidRPr="008A124F">
        <w:rPr>
          <w:rFonts w:ascii="Calibri" w:hint="eastAsia"/>
        </w:rPr>
        <w:t>대인은 단지 보관할 뿐입니다.</w:t>
      </w:r>
    </w:p>
    <w:p w:rsidR="003C0463" w:rsidRPr="008A124F" w:rsidRDefault="003C0463">
      <w:pPr>
        <w:spacing w:before="17" w:line="260" w:lineRule="exact"/>
      </w:pPr>
    </w:p>
    <w:p w:rsidR="003C0463" w:rsidRPr="008A124F" w:rsidRDefault="008A124F">
      <w:pPr>
        <w:pStyle w:val="BodyText"/>
        <w:spacing w:line="286" w:lineRule="exact"/>
        <w:ind w:left="100" w:right="335" w:firstLine="0"/>
        <w:rPr>
          <w:sz w:val="22"/>
          <w:szCs w:val="22"/>
        </w:rPr>
      </w:pPr>
      <w:r w:rsidRPr="008A124F">
        <w:rPr>
          <w:rFonts w:hint="eastAsia"/>
          <w:b/>
          <w:bCs/>
          <w:sz w:val="22"/>
          <w:szCs w:val="22"/>
        </w:rPr>
        <w:t>반환:</w:t>
      </w:r>
      <w:r w:rsidRPr="008A124F">
        <w:rPr>
          <w:rFonts w:hint="eastAsia"/>
          <w:sz w:val="22"/>
          <w:szCs w:val="22"/>
        </w:rPr>
        <w:t xml:space="preserve"> 임대인은 임차인이 이사한 날로부터 45일 이내에 보증금과 이자를 반환해야 합니다(화재 또는 피해자 손해로 인해 임차인이 이사해야 하는 경우).</w:t>
      </w:r>
    </w:p>
    <w:p w:rsidR="003C0463" w:rsidRPr="008A124F" w:rsidRDefault="008A124F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607"/>
        <w:jc w:val="both"/>
        <w:rPr>
          <w:sz w:val="22"/>
          <w:szCs w:val="22"/>
        </w:rPr>
      </w:pPr>
      <w:r w:rsidRPr="008A124F">
        <w:rPr>
          <w:rFonts w:hint="eastAsia"/>
          <w:b/>
          <w:bCs/>
          <w:sz w:val="22"/>
          <w:szCs w:val="22"/>
        </w:rPr>
        <w:t>연간 이자 지급:</w:t>
      </w:r>
      <w:r w:rsidRPr="008A124F">
        <w:rPr>
          <w:rFonts w:hint="eastAsia"/>
          <w:sz w:val="22"/>
          <w:szCs w:val="22"/>
        </w:rPr>
        <w:t xml:space="preserve"> 임대인은 임대 후 12개월마다 30 일 이내에 임차인의 이자를 지불해야 합니다(단, 6개월 이상 보증금을 보유한 경우에만).</w:t>
      </w:r>
    </w:p>
    <w:p w:rsidR="003C0463" w:rsidRPr="008A124F" w:rsidRDefault="008A124F">
      <w:pPr>
        <w:numPr>
          <w:ilvl w:val="0"/>
          <w:numId w:val="1"/>
        </w:numPr>
        <w:tabs>
          <w:tab w:val="left" w:pos="820"/>
        </w:tabs>
        <w:spacing w:before="104" w:line="286" w:lineRule="exact"/>
        <w:ind w:right="259"/>
        <w:rPr>
          <w:rFonts w:ascii="Calibri" w:eastAsia="Calibri" w:hAnsi="Calibri" w:cs="Calibri"/>
        </w:rPr>
      </w:pPr>
      <w:r w:rsidRPr="008A124F">
        <w:rPr>
          <w:rFonts w:ascii="Calibri" w:hint="eastAsia"/>
          <w:b/>
          <w:bCs/>
        </w:rPr>
        <w:t>공제:</w:t>
      </w:r>
      <w:r w:rsidRPr="008A124F">
        <w:rPr>
          <w:rFonts w:ascii="Calibri" w:hint="eastAsia"/>
        </w:rPr>
        <w:t xml:space="preserve"> 임대인은 보증금과 이자를 사용하여 </w:t>
      </w:r>
      <w:r w:rsidRPr="008A124F">
        <w:rPr>
          <w:rFonts w:ascii="Calibri" w:hint="eastAsia"/>
          <w:b/>
          <w:bCs/>
          <w:i/>
          <w:iCs/>
        </w:rPr>
        <w:t>임차인(또는 손님)</w:t>
      </w:r>
      <w:r w:rsidRPr="008A124F">
        <w:rPr>
          <w:rFonts w:ascii="Calibri" w:hint="eastAsia"/>
        </w:rPr>
        <w:t>으로 인한 손해에 대해 미지급 임대 및 수리 비용을 충당할 수 있지만, 마모 및 파손은 여기에 해당하지 않습니다.</w:t>
      </w:r>
    </w:p>
    <w:p w:rsidR="003C0463" w:rsidRPr="008A124F" w:rsidRDefault="008A124F">
      <w:pPr>
        <w:pStyle w:val="BodyText"/>
        <w:numPr>
          <w:ilvl w:val="0"/>
          <w:numId w:val="1"/>
        </w:numPr>
        <w:tabs>
          <w:tab w:val="left" w:pos="820"/>
        </w:tabs>
        <w:spacing w:before="104" w:line="286" w:lineRule="exact"/>
        <w:ind w:right="262"/>
        <w:rPr>
          <w:sz w:val="22"/>
          <w:szCs w:val="22"/>
        </w:rPr>
      </w:pPr>
      <w:r w:rsidRPr="008A124F">
        <w:rPr>
          <w:rFonts w:hint="eastAsia"/>
          <w:b/>
          <w:bCs/>
          <w:sz w:val="22"/>
          <w:szCs w:val="22"/>
        </w:rPr>
        <w:t>항목별 명세서:</w:t>
      </w:r>
      <w:r w:rsidRPr="008A124F">
        <w:rPr>
          <w:rFonts w:hint="eastAsia"/>
          <w:sz w:val="22"/>
          <w:szCs w:val="22"/>
        </w:rPr>
        <w:t xml:space="preserve"> 임대인은 이사 후 30일 이내에 임차인에게 손해 및 수리/교체 비용 목록을 제공하기 전에 수리 비용을 공제할 수 없습니다.</w:t>
      </w:r>
    </w:p>
    <w:p w:rsidR="003C0463" w:rsidRPr="008A124F" w:rsidRDefault="008A124F">
      <w:pPr>
        <w:numPr>
          <w:ilvl w:val="1"/>
          <w:numId w:val="1"/>
        </w:numPr>
        <w:tabs>
          <w:tab w:val="left" w:pos="1540"/>
        </w:tabs>
        <w:spacing w:before="104" w:line="286" w:lineRule="exact"/>
        <w:ind w:right="250"/>
        <w:rPr>
          <w:rFonts w:ascii="Calibri" w:eastAsia="Calibri" w:hAnsi="Calibri" w:cs="Calibri"/>
        </w:rPr>
      </w:pPr>
      <w:r w:rsidRPr="008A124F">
        <w:rPr>
          <w:rFonts w:ascii="Calibri" w:hint="eastAsia"/>
          <w:b/>
          <w:bCs/>
        </w:rPr>
        <w:t>또한, 임대인은</w:t>
      </w:r>
      <w:r w:rsidRPr="008A124F">
        <w:rPr>
          <w:rFonts w:ascii="Calibri" w:hint="eastAsia"/>
        </w:rPr>
        <w:t xml:space="preserve"> 명세서와 함께(이미 완료된 경우) 또는 명세서 발급 이후 30일 이내에 수리/교체를 위해 </w:t>
      </w:r>
      <w:r w:rsidRPr="008A124F">
        <w:rPr>
          <w:rFonts w:ascii="Calibri" w:hint="eastAsia"/>
          <w:b/>
          <w:bCs/>
        </w:rPr>
        <w:t>지불된 영수증을 제공해야 합니다</w:t>
      </w:r>
      <w:r w:rsidRPr="008A124F">
        <w:rPr>
          <w:rFonts w:ascii="Calibri" w:hint="eastAsia"/>
        </w:rPr>
        <w:t>.</w:t>
      </w:r>
    </w:p>
    <w:p w:rsidR="003C0463" w:rsidRPr="008A124F" w:rsidRDefault="008A124F">
      <w:pPr>
        <w:numPr>
          <w:ilvl w:val="0"/>
          <w:numId w:val="1"/>
        </w:numPr>
        <w:tabs>
          <w:tab w:val="left" w:pos="820"/>
        </w:tabs>
        <w:spacing w:before="104" w:line="286" w:lineRule="exact"/>
        <w:ind w:right="291"/>
        <w:rPr>
          <w:rFonts w:ascii="Calibri" w:eastAsia="Calibri" w:hAnsi="Calibri" w:cs="Calibri"/>
        </w:rPr>
      </w:pPr>
      <w:r w:rsidRPr="008A124F">
        <w:rPr>
          <w:rFonts w:ascii="Calibri" w:hint="eastAsia"/>
          <w:b/>
        </w:rPr>
        <w:t xml:space="preserve">본 규정은 일리노이주 전역에 적용됩니다! </w:t>
      </w:r>
      <w:r w:rsidRPr="008A124F">
        <w:rPr>
          <w:rFonts w:ascii="Calibri" w:hint="eastAsia"/>
        </w:rPr>
        <w:t>보증금 반환 법률 및 보증금 예치 이자 법률은 기본적으로 시카고 법률과 동일합니다.</w:t>
      </w:r>
    </w:p>
    <w:p w:rsidR="003C0463" w:rsidRPr="008A124F" w:rsidRDefault="003C0463">
      <w:pPr>
        <w:spacing w:before="4" w:line="280" w:lineRule="exact"/>
      </w:pPr>
    </w:p>
    <w:p w:rsidR="003C0463" w:rsidRPr="008A124F" w:rsidRDefault="008A124F">
      <w:pPr>
        <w:ind w:left="100"/>
        <w:rPr>
          <w:rFonts w:ascii="Calibri" w:eastAsia="Calibri" w:hAnsi="Calibri" w:cs="Calibri"/>
        </w:rPr>
      </w:pPr>
      <w:r w:rsidRPr="008A124F">
        <w:rPr>
          <w:rFonts w:ascii="Calibri" w:hAnsi="Calibri" w:hint="eastAsia"/>
          <w:b/>
          <w:bCs/>
        </w:rPr>
        <w:t>부동산이 새로운 소유자에게 양도되는 경우:</w:t>
      </w:r>
      <w:r w:rsidRPr="008A124F">
        <w:rPr>
          <w:rFonts w:ascii="Calibri" w:hAnsi="Calibri" w:hint="eastAsia"/>
        </w:rPr>
        <w:t xml:space="preserve"> 새 소유자는 임차인의 보증금을 지불해야 합니다.</w:t>
      </w:r>
    </w:p>
    <w:p w:rsidR="003C0463" w:rsidRPr="008A124F" w:rsidRDefault="008A124F">
      <w:pPr>
        <w:pStyle w:val="BodyText"/>
        <w:numPr>
          <w:ilvl w:val="0"/>
          <w:numId w:val="1"/>
        </w:numPr>
        <w:tabs>
          <w:tab w:val="left" w:pos="820"/>
        </w:tabs>
        <w:spacing w:before="201" w:line="286" w:lineRule="exact"/>
        <w:ind w:right="287"/>
        <w:rPr>
          <w:sz w:val="22"/>
          <w:szCs w:val="22"/>
        </w:rPr>
      </w:pPr>
      <w:r w:rsidRPr="008A124F">
        <w:rPr>
          <w:rFonts w:hint="eastAsia"/>
          <w:sz w:val="22"/>
          <w:szCs w:val="22"/>
        </w:rPr>
        <w:t>새 소유자는 보증금이 성공적으로 이체되었음을 확인하기 위해 자산 양도 후 14일 이내에 임차인에게 서면으로 통지해야 합니다.</w:t>
      </w:r>
    </w:p>
    <w:p w:rsidR="003C0463" w:rsidRPr="008A124F" w:rsidRDefault="008A124F">
      <w:pPr>
        <w:pStyle w:val="BodyText"/>
        <w:numPr>
          <w:ilvl w:val="0"/>
          <w:numId w:val="1"/>
        </w:numPr>
        <w:tabs>
          <w:tab w:val="left" w:pos="820"/>
        </w:tabs>
        <w:spacing w:before="104"/>
        <w:rPr>
          <w:sz w:val="22"/>
          <w:szCs w:val="22"/>
        </w:rPr>
      </w:pPr>
      <w:r w:rsidRPr="008A124F">
        <w:rPr>
          <w:rFonts w:hint="eastAsia"/>
          <w:sz w:val="22"/>
          <w:szCs w:val="22"/>
        </w:rPr>
        <w:t>이전 소유자는 전체 양도가 완료될 때까지 공동으로 책임을 집니다.</w:t>
      </w:r>
    </w:p>
    <w:p w:rsidR="003C0463" w:rsidRPr="008A124F" w:rsidRDefault="003C0463">
      <w:pPr>
        <w:spacing w:before="17" w:line="260" w:lineRule="exact"/>
      </w:pPr>
    </w:p>
    <w:p w:rsidR="003C0463" w:rsidRPr="008A124F" w:rsidRDefault="008A124F">
      <w:pPr>
        <w:pStyle w:val="BodyText"/>
        <w:ind w:left="100" w:firstLine="0"/>
        <w:rPr>
          <w:sz w:val="22"/>
          <w:szCs w:val="22"/>
        </w:rPr>
      </w:pPr>
      <w:r w:rsidRPr="008A124F">
        <w:rPr>
          <w:rFonts w:hint="eastAsia"/>
          <w:b/>
          <w:bCs/>
          <w:sz w:val="22"/>
          <w:szCs w:val="22"/>
        </w:rPr>
        <w:t>해결책:</w:t>
      </w:r>
      <w:r w:rsidRPr="008A124F">
        <w:rPr>
          <w:rFonts w:hint="eastAsia"/>
          <w:sz w:val="22"/>
          <w:szCs w:val="22"/>
        </w:rPr>
        <w:t xml:space="preserve"> 임대인이 규정을 어길 경우, 임차인은 보증금과 이자를 두 배로 받습니다.</w:t>
      </w:r>
    </w:p>
    <w:p w:rsidR="003C0463" w:rsidRPr="008A124F" w:rsidRDefault="008A124F">
      <w:pPr>
        <w:pStyle w:val="BodyText"/>
        <w:numPr>
          <w:ilvl w:val="0"/>
          <w:numId w:val="1"/>
        </w:numPr>
        <w:tabs>
          <w:tab w:val="left" w:pos="820"/>
        </w:tabs>
        <w:spacing w:before="201" w:line="286" w:lineRule="exact"/>
        <w:ind w:right="212"/>
        <w:jc w:val="both"/>
        <w:rPr>
          <w:sz w:val="22"/>
          <w:szCs w:val="22"/>
        </w:rPr>
      </w:pPr>
      <w:r w:rsidRPr="008A124F">
        <w:rPr>
          <w:rFonts w:hint="eastAsia"/>
          <w:sz w:val="22"/>
          <w:szCs w:val="22"/>
        </w:rPr>
        <w:t>임대인이 잘못된 금액의 이자를 지불하고 임차인이 임대인에게 이를 알릴 경우, 임대인은 알맞은 금액에 $50를 더한 금액을 지불해야 합니다. 임대인이 동의하지 않을 경우, 임차인은 소송할 수 있습니다. 임차인이 승소할 경우, 임차인은 보증금과 이자를 두 배로 받습니다.</w:t>
      </w:r>
    </w:p>
    <w:p w:rsidR="003C0463" w:rsidRDefault="003C0463">
      <w:pPr>
        <w:spacing w:before="6" w:line="120" w:lineRule="exact"/>
        <w:rPr>
          <w:sz w:val="12"/>
          <w:szCs w:val="12"/>
        </w:rPr>
      </w:pPr>
    </w:p>
    <w:p w:rsidR="003C0463" w:rsidRDefault="003C0463">
      <w:pPr>
        <w:spacing w:line="240" w:lineRule="exact"/>
        <w:rPr>
          <w:sz w:val="24"/>
          <w:szCs w:val="24"/>
        </w:rPr>
      </w:pPr>
    </w:p>
    <w:p w:rsidR="003C0463" w:rsidRDefault="003C0463">
      <w:pPr>
        <w:spacing w:line="240" w:lineRule="exact"/>
        <w:rPr>
          <w:sz w:val="24"/>
          <w:szCs w:val="24"/>
        </w:rPr>
      </w:pPr>
    </w:p>
    <w:p w:rsidR="003C0463" w:rsidRDefault="008A124F">
      <w:pPr>
        <w:ind w:right="27"/>
        <w:jc w:val="center"/>
        <w:rPr>
          <w:rFonts w:ascii="Arial" w:eastAsia="Arial" w:hAnsi="Arial" w:cs="Arial"/>
        </w:rPr>
      </w:pPr>
      <w:r>
        <w:rPr>
          <w:rFonts w:ascii="Arial" w:hint="eastAsia"/>
        </w:rPr>
        <w:t>1</w:t>
      </w:r>
    </w:p>
    <w:sectPr w:rsidR="003C0463">
      <w:type w:val="continuous"/>
      <w:pgSz w:w="12240" w:h="15840"/>
      <w:pgMar w:top="14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F535D"/>
    <w:multiLevelType w:val="hybridMultilevel"/>
    <w:tmpl w:val="BCCC8EDC"/>
    <w:lvl w:ilvl="0" w:tplc="2006D0D2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913C2C46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D30AAC3A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AA32E0B8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AAF2A782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A010FE9E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7E7E0FF6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AD7C0DF4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91EECADC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C0463"/>
    <w:rsid w:val="003C0463"/>
    <w:rsid w:val="00797C0D"/>
    <w:rsid w:val="008A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5:docId w15:val="{528D01FB-8B9B-4734-864B-C7972CB8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</vt:lpstr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</dc:title>
  <dc:creator>Asmaa Diab</dc:creator>
  <cp:lastModifiedBy>Asmaa Diab</cp:lastModifiedBy>
  <cp:revision>4</cp:revision>
  <cp:lastPrinted>2020-05-11T23:31:00Z</cp:lastPrinted>
  <dcterms:created xsi:type="dcterms:W3CDTF">2020-05-07T00:41:00Z</dcterms:created>
  <dcterms:modified xsi:type="dcterms:W3CDTF">2020-05-11T23:32:00Z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