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22" w:rsidRDefault="00384344">
      <w:pPr>
        <w:spacing w:before="36" w:line="289" w:lineRule="exact"/>
        <w:ind w:right="2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43904;mso-position-horizontal-relative:page;mso-position-vertical-relative:page" coordorigin="-8,-8" coordsize="15,15">
            <v:group id="_x0000_s1053" style="position:absolute;width:2;height:2" coordsize="2,2">
              <v:shape id="_x0000_s1054" style="position:absolute;width:2;height:2" coordsize="0,0" path="m,l,xe" fillcolor="black" stroked="f">
                <v:path arrowok="t"/>
              </v:shape>
            </v:group>
            <v:group id="_x0000_s1051" style="position:absolute;width:2;height:2" coordsize="2,2">
              <v:shape id="_x0000_s1052" style="position:absolute;width:2;height:2" coordsize="0,0" path="m,l,xe" fillcolor="black" stroked="f">
                <v:path arrowok="t"/>
              </v:shape>
            </v:group>
            <v:group id="_x0000_s1049" style="position:absolute;width:2;height:2" coordsize="2,2">
              <v:shape id="_x0000_s1050" style="position:absolute;width:2;height:2" coordsize="0,0" path="m,l,xe" fillcolor="black" stroked="f">
                <v:path arrowok="t"/>
              </v:shape>
            </v:group>
            <v:group id="_x0000_s1047" style="position:absolute;width:2;height:2" coordsize="2,2">
              <v:shape id="_x0000_s1048" style="position:absolute;width:2;height:2" coordsize="0,0" path="m,l,xe" fillcolor="black" stroked="f">
                <v:path arrowok="t"/>
              </v:shape>
            </v:group>
            <v:group id="_x0000_s1045" style="position:absolute;width:2;height:2" coordsize="2,2">
              <v:shape id="_x0000_s1046" style="position:absolute;width:2;height:2" coordsize="0,0" path="m,l,xe" fillcolor="black" stroked="f">
                <v:path arrowok="t"/>
              </v:shape>
            </v:group>
            <v:group id="_x0000_s1043" style="position:absolute;width:2;height:2" coordsize="2,2">
              <v:shape id="_x0000_s1044" style="position:absolute;width:2;height:2" coordsize="0,0" path="m,l,xe" fillcolor="black" stroked="f">
                <v:path arrowok="t"/>
              </v:shape>
            </v:group>
            <v:group id="_x0000_s1041" style="position:absolute;width:2;height:2" coordsize="2,2">
              <v:shape id="_x0000_s1042" style="position:absolute;width:2;height:2" coordsize="0,0" path="m,l,xe" fillcolor="black" stroked="f">
                <v:path arrowok="t"/>
              </v:shape>
            </v:group>
            <v:group id="_x0000_s1039" style="position:absolute;width:2;height:2" coordsize="2,2">
              <v:shape id="_x0000_s1040" style="position:absolute;width:2;height:2" coordsize="0,0" path="m,l,xe" fillcolor="black" stroked="f">
                <v:path arrowok="t"/>
              </v:shape>
            </v:group>
            <v:group id="_x0000_s1037" style="position:absolute;width:2;height:2" coordsize="2,2">
              <v:shape id="_x0000_s1038" style="position:absolute;width:2;height:2" coordsize="0,0" path="m,l,xe" fillcolor="black" stroked="f">
                <v:path arrowok="t"/>
              </v:shape>
            </v:group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bCs/>
          <w:sz w:val="24"/>
          <w:szCs w:val="24"/>
        </w:rPr>
        <w:t>Mga Karapatan ng Nangungupahan sa mga Deposito ng Seguridad</w:t>
      </w:r>
    </w:p>
    <w:p w:rsidR="00606922" w:rsidRDefault="00384344">
      <w:pPr>
        <w:pStyle w:val="BodyText"/>
        <w:spacing w:before="2" w:line="233" w:lineRule="auto"/>
        <w:ind w:left="3370" w:right="3373" w:firstLine="0"/>
        <w:jc w:val="center"/>
      </w:pPr>
      <w:r>
        <w:t>Sentro ng Batas ng mga Mamamayan ng Uptown Na-update Marso 2020</w:t>
      </w:r>
    </w:p>
    <w:p w:rsidR="00606922" w:rsidRDefault="00606922">
      <w:pPr>
        <w:spacing w:before="18" w:line="260" w:lineRule="exact"/>
        <w:rPr>
          <w:sz w:val="26"/>
          <w:szCs w:val="26"/>
        </w:rPr>
      </w:pPr>
    </w:p>
    <w:p w:rsidR="00606922" w:rsidRDefault="00384344">
      <w:pPr>
        <w:pStyle w:val="BodyText"/>
        <w:spacing w:line="286" w:lineRule="exact"/>
        <w:ind w:left="100" w:right="191" w:firstLine="0"/>
      </w:pPr>
      <w:r>
        <w:rPr>
          <w:b/>
        </w:rPr>
        <w:t xml:space="preserve">Lokal na batas: </w:t>
      </w:r>
      <w:r>
        <w:t>Sinasaklaw ng Chicago Residential Landlord &amp;</w:t>
      </w:r>
      <w:r>
        <w:t xml:space="preserve"> Tenant Ordinance (CRLTO) ang mga karapatan ng nangungupahan kaugnay sa sa mga deposito ng seguridad, (ngunit hindi para sa mga co-ops o mga gusaling okupado ng may-ari na 6 na mga yunit o mas kaunti; para sa mga ito, tingnan ang kasunduan sa upa).</w:t>
      </w:r>
    </w:p>
    <w:p w:rsidR="00606922" w:rsidRDefault="00606922">
      <w:pPr>
        <w:spacing w:before="4" w:line="280" w:lineRule="exact"/>
        <w:rPr>
          <w:sz w:val="28"/>
          <w:szCs w:val="28"/>
        </w:rPr>
      </w:pPr>
    </w:p>
    <w:p w:rsidR="00606922" w:rsidRDefault="00384344">
      <w:pPr>
        <w:spacing w:line="286" w:lineRule="exact"/>
        <w:ind w:left="100" w:right="28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Kailan</w:t>
      </w:r>
      <w:r>
        <w:rPr>
          <w:rFonts w:ascii="Calibri"/>
          <w:b/>
          <w:sz w:val="24"/>
        </w:rPr>
        <w:t xml:space="preserve">gang panatilihin ng may-ari na nakahiwalay ang lahat ng mga deposito ng seguridad mula sa iba pang mga ari-arian. </w:t>
      </w:r>
      <w:r>
        <w:rPr>
          <w:rFonts w:ascii="Calibri"/>
          <w:sz w:val="24"/>
        </w:rPr>
        <w:t>Dapat nilang ilagay ang mga ito sa isang account na nakaseguro sa pederal at may interes at sabihin sa nangungupahan ang pangalan ng bangko.</w:t>
      </w:r>
    </w:p>
    <w:p w:rsidR="00606922" w:rsidRDefault="00384344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295"/>
      </w:pPr>
      <w:r>
        <w:rPr>
          <w:b/>
          <w:bCs/>
        </w:rPr>
        <w:t>M</w:t>
      </w:r>
      <w:r>
        <w:rPr>
          <w:b/>
          <w:bCs/>
        </w:rPr>
        <w:t>akakakuha ang mga nangungupahan ng isang napirmahang resibo</w:t>
      </w:r>
      <w:r>
        <w:t xml:space="preserve"> na nagpapatunay sa deposito ng seguridad, sa araw na natanggap ito ng may-ari, at ang paglalarawan sa yunit. Kung nabigo ang may-ari na ibigay ito, maaaring hilingin agad ng mga nangungupahan na i</w:t>
      </w:r>
      <w:r>
        <w:t>balik ang kanilang mga deposito ng seguridad.</w:t>
      </w:r>
    </w:p>
    <w:p w:rsidR="00606922" w:rsidRDefault="00384344">
      <w:pPr>
        <w:numPr>
          <w:ilvl w:val="0"/>
          <w:numId w:val="1"/>
        </w:numPr>
        <w:tabs>
          <w:tab w:val="left" w:pos="820"/>
        </w:tabs>
        <w:spacing w:before="10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Ang deposito ng seguridad + interest ay pag-aari ng nangungupahan.</w:t>
      </w:r>
      <w:r>
        <w:rPr>
          <w:rFonts w:ascii="Calibri"/>
          <w:sz w:val="24"/>
        </w:rPr>
        <w:t xml:space="preserve"> Hawak lang ng may-ari ang mga ito.</w:t>
      </w:r>
    </w:p>
    <w:p w:rsidR="00606922" w:rsidRDefault="00606922">
      <w:pPr>
        <w:spacing w:before="17" w:line="260" w:lineRule="exact"/>
        <w:rPr>
          <w:sz w:val="26"/>
          <w:szCs w:val="26"/>
        </w:rPr>
      </w:pPr>
    </w:p>
    <w:p w:rsidR="00606922" w:rsidRDefault="00384344">
      <w:pPr>
        <w:pStyle w:val="BodyText"/>
        <w:spacing w:line="286" w:lineRule="exact"/>
        <w:ind w:left="100" w:right="335" w:firstLine="0"/>
      </w:pPr>
      <w:r>
        <w:rPr>
          <w:b/>
          <w:bCs/>
        </w:rPr>
        <w:t>Mga Pagbabalik:</w:t>
      </w:r>
      <w:r>
        <w:t xml:space="preserve"> Dapat ibalik ng mga may-ari ang balanse sa deposito ng seguridad kasama ang interes sa loob</w:t>
      </w:r>
      <w:r>
        <w:t xml:space="preserve"> ng 45 araw pagkatapos ng petsa na umalis ang nangungupahan (mas maaga kung kailangang umalis ang nangungupahan dahil sa isang pagkasira dahil sa sunog o sakuna).</w:t>
      </w:r>
    </w:p>
    <w:p w:rsidR="00606922" w:rsidRDefault="00384344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607"/>
        <w:jc w:val="both"/>
      </w:pPr>
      <w:r>
        <w:rPr>
          <w:b/>
          <w:bCs/>
        </w:rPr>
        <w:t>Mag taunang pagbabayad ng interes:</w:t>
      </w:r>
      <w:r>
        <w:t xml:space="preserve"> Kailangang bayaran ng mga may-ari ang interes ng nangungup</w:t>
      </w:r>
      <w:r>
        <w:t>ahan sa loob ng 30 araw pagkatapos ng bawat 12-buwan na panahon ng pag-upa (ngunit kung nahawakan lamang nila ang deposito ng seguridad nang &gt; 6 na buwan).</w:t>
      </w:r>
    </w:p>
    <w:p w:rsidR="00606922" w:rsidRDefault="00384344">
      <w:pPr>
        <w:numPr>
          <w:ilvl w:val="0"/>
          <w:numId w:val="1"/>
        </w:numPr>
        <w:tabs>
          <w:tab w:val="left" w:pos="820"/>
        </w:tabs>
        <w:spacing w:before="104" w:line="286" w:lineRule="exact"/>
        <w:ind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Mga kaltas: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 xml:space="preserve">Maaaring gamitin ng mga may-ari ang deposito ng seguridad at interes upang bayaran ang hindi bayad na upa at mga pag-aayos para sa mga pinsala na </w:t>
      </w:r>
      <w:r>
        <w:rPr>
          <w:rFonts w:ascii="Calibri"/>
          <w:b/>
          <w:bCs/>
          <w:i/>
          <w:iCs/>
          <w:sz w:val="24"/>
        </w:rPr>
        <w:t>dulot ng nangungupahan (o mga panauhin)</w:t>
      </w:r>
      <w:r>
        <w:rPr>
          <w:rFonts w:ascii="Calibri"/>
          <w:sz w:val="24"/>
        </w:rPr>
        <w:t>, hindi kasama ang karaniwang pagkaluma.</w:t>
      </w:r>
    </w:p>
    <w:p w:rsidR="00606922" w:rsidRDefault="00384344">
      <w:pPr>
        <w:pStyle w:val="BodyText"/>
        <w:numPr>
          <w:ilvl w:val="0"/>
          <w:numId w:val="1"/>
        </w:numPr>
        <w:tabs>
          <w:tab w:val="left" w:pos="820"/>
        </w:tabs>
        <w:spacing w:before="104" w:line="286" w:lineRule="exact"/>
        <w:ind w:right="262"/>
      </w:pPr>
      <w:r>
        <w:rPr>
          <w:b/>
          <w:bCs/>
        </w:rPr>
        <w:t>Mga detalyadong pahayag :</w:t>
      </w:r>
      <w:r>
        <w:t xml:space="preserve"> Hind</w:t>
      </w:r>
      <w:r>
        <w:t>i maaaring magkaltas ang mga may-ari para sa mga pag-aayos bago ibigay sa nangungupahan ang isang listahan ng mga pinsala at mga gastos sa pagkumpuni/pagpalit sa loob ng 30 araw mula sa paglipat.</w:t>
      </w:r>
    </w:p>
    <w:p w:rsidR="00606922" w:rsidRDefault="00384344">
      <w:pPr>
        <w:numPr>
          <w:ilvl w:val="1"/>
          <w:numId w:val="1"/>
        </w:numPr>
        <w:tabs>
          <w:tab w:val="left" w:pos="1540"/>
        </w:tabs>
        <w:spacing w:before="104" w:line="286" w:lineRule="exact"/>
        <w:ind w:right="25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Kailangan ding magbigay ang mga may-ari ng mga bayad na resi</w:t>
      </w:r>
      <w:r>
        <w:rPr>
          <w:rFonts w:ascii="Calibri"/>
          <w:b/>
          <w:bCs/>
          <w:sz w:val="24"/>
        </w:rPr>
        <w:t>bo</w:t>
      </w:r>
      <w:r>
        <w:rPr>
          <w:rFonts w:ascii="Calibri"/>
          <w:sz w:val="24"/>
        </w:rPr>
        <w:t xml:space="preserve"> para sa mga pag-aayos/pagpapalit kasama ang pahayag (kung nakumpleto na) o sa loob ng 30 araw pagkatapos ng pahayag.</w:t>
      </w:r>
    </w:p>
    <w:p w:rsidR="00606922" w:rsidRDefault="00384344">
      <w:pPr>
        <w:numPr>
          <w:ilvl w:val="0"/>
          <w:numId w:val="1"/>
        </w:numPr>
        <w:tabs>
          <w:tab w:val="left" w:pos="820"/>
        </w:tabs>
        <w:spacing w:before="104" w:line="286" w:lineRule="exact"/>
        <w:ind w:right="29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Ang mga patakarang ito ay nalalapat din sa buong Illinois! </w:t>
      </w:r>
      <w:r>
        <w:rPr>
          <w:rFonts w:ascii="Calibri"/>
          <w:sz w:val="24"/>
        </w:rPr>
        <w:t>Ang Security Deposit Return Act at ang Security Deposit interest Act ay karan</w:t>
      </w:r>
      <w:r>
        <w:rPr>
          <w:rFonts w:ascii="Calibri"/>
          <w:sz w:val="24"/>
        </w:rPr>
        <w:t>iwang magkapareho sa batas ng Chicago.</w:t>
      </w:r>
    </w:p>
    <w:p w:rsidR="00606922" w:rsidRDefault="00606922">
      <w:pPr>
        <w:spacing w:before="4" w:line="280" w:lineRule="exact"/>
        <w:rPr>
          <w:sz w:val="28"/>
          <w:szCs w:val="28"/>
        </w:rPr>
      </w:pPr>
    </w:p>
    <w:p w:rsidR="00606922" w:rsidRDefault="00384344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Kung ililipat ang ari-arian sa isang bagong may-ari:</w:t>
      </w:r>
      <w:r>
        <w:rPr>
          <w:rFonts w:ascii="Calibri" w:hAnsi="Calibri"/>
          <w:sz w:val="24"/>
          <w:szCs w:val="24"/>
        </w:rPr>
        <w:t xml:space="preserve"> Mananagot ang bagong may-ari para sa deposito ng seguridad ng nangungupahan.</w:t>
      </w:r>
    </w:p>
    <w:p w:rsidR="00606922" w:rsidRDefault="00384344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287"/>
      </w:pPr>
      <w:r>
        <w:t xml:space="preserve">Dapat abisuhan ng bagong may-ari ang nangungupahan sa pamamagitan ng liham sa loob ng </w:t>
      </w:r>
      <w:r>
        <w:t xml:space="preserve">14 na araw pagkatapos ng paglipat ng ari-arian upang kumpirmahin na </w:t>
      </w:r>
      <w:r>
        <w:lastRenderedPageBreak/>
        <w:t>matagumpay na nailipat ang deposito ng seguridad.</w:t>
      </w:r>
    </w:p>
    <w:p w:rsidR="00606922" w:rsidRDefault="00384344">
      <w:pPr>
        <w:pStyle w:val="BodyText"/>
        <w:numPr>
          <w:ilvl w:val="0"/>
          <w:numId w:val="1"/>
        </w:numPr>
        <w:tabs>
          <w:tab w:val="left" w:pos="820"/>
        </w:tabs>
        <w:spacing w:before="104"/>
      </w:pPr>
      <w:r>
        <w:t>Ang dating may-ari ay mananagot nang kasama o mag-isa hanggang sa makumpleto ang paglipat.</w:t>
      </w:r>
    </w:p>
    <w:p w:rsidR="00606922" w:rsidRDefault="00606922">
      <w:pPr>
        <w:spacing w:before="17" w:line="260" w:lineRule="exact"/>
        <w:rPr>
          <w:sz w:val="26"/>
          <w:szCs w:val="26"/>
        </w:rPr>
      </w:pPr>
    </w:p>
    <w:p w:rsidR="00606922" w:rsidRDefault="00384344">
      <w:pPr>
        <w:pStyle w:val="BodyText"/>
        <w:ind w:left="100" w:firstLine="0"/>
      </w:pPr>
      <w:r>
        <w:rPr>
          <w:b/>
          <w:bCs/>
        </w:rPr>
        <w:t>Remedyo:</w:t>
      </w:r>
      <w:r>
        <w:t xml:space="preserve"> Kung lalabag ang may-ari sa mga patak</w:t>
      </w:r>
      <w:r>
        <w:t>aran, madodoble ang deposito ng seguridad ng mga nangungupahan kasama ang interes.</w:t>
      </w:r>
    </w:p>
    <w:p w:rsidR="00606922" w:rsidRDefault="00384344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212"/>
        <w:jc w:val="both"/>
      </w:pPr>
      <w:r>
        <w:t xml:space="preserve">Kung </w:t>
      </w:r>
      <w:r>
        <w:rPr>
          <w:b/>
          <w:bCs/>
        </w:rPr>
        <w:t>maling halaga ng interes</w:t>
      </w:r>
      <w:r>
        <w:t xml:space="preserve"> ang binayaran ng may-ari at sinabi ito ng nangungupahan sa may-ari, dapat na bayaran ng may-ari ang pagwawasto at DAGDAG na $50. </w:t>
      </w:r>
      <w:r>
        <w:t>Kung hindi sumasang-ayon ang may-ari, maaaring pumunta sa korte ang nangungupahan. Kung mananalo ang nangungupahan, madodoble ng nangungupahan ang kanilang deposito ng seguridad kasama ang interes.</w:t>
      </w:r>
    </w:p>
    <w:p w:rsidR="00606922" w:rsidRDefault="00606922">
      <w:pPr>
        <w:spacing w:before="6" w:line="120" w:lineRule="exact"/>
        <w:rPr>
          <w:sz w:val="12"/>
          <w:szCs w:val="12"/>
        </w:rPr>
      </w:pPr>
    </w:p>
    <w:p w:rsidR="00606922" w:rsidRDefault="00606922">
      <w:pPr>
        <w:spacing w:line="240" w:lineRule="exact"/>
        <w:rPr>
          <w:sz w:val="24"/>
          <w:szCs w:val="24"/>
        </w:rPr>
      </w:pPr>
    </w:p>
    <w:p w:rsidR="00606922" w:rsidRDefault="00606922">
      <w:pPr>
        <w:spacing w:line="240" w:lineRule="exact"/>
        <w:rPr>
          <w:sz w:val="24"/>
          <w:szCs w:val="24"/>
        </w:rPr>
      </w:pPr>
    </w:p>
    <w:p w:rsidR="00606922" w:rsidRDefault="00606922">
      <w:pPr>
        <w:spacing w:line="240" w:lineRule="exact"/>
        <w:rPr>
          <w:sz w:val="24"/>
          <w:szCs w:val="24"/>
        </w:rPr>
      </w:pPr>
    </w:p>
    <w:p w:rsidR="00606922" w:rsidRDefault="00606922">
      <w:pPr>
        <w:spacing w:line="240" w:lineRule="exact"/>
        <w:rPr>
          <w:sz w:val="24"/>
          <w:szCs w:val="24"/>
        </w:rPr>
      </w:pPr>
    </w:p>
    <w:p w:rsidR="00606922" w:rsidRDefault="00384344">
      <w:pPr>
        <w:ind w:right="27"/>
        <w:jc w:val="center"/>
        <w:rPr>
          <w:rFonts w:ascii="Arial" w:eastAsia="Arial" w:hAnsi="Arial" w:cs="Arial"/>
        </w:rPr>
      </w:pPr>
      <w:r>
        <w:rPr>
          <w:rFonts w:ascii="Arial"/>
        </w:rPr>
        <w:t>1</w:t>
      </w:r>
    </w:p>
    <w:sectPr w:rsidR="00606922">
      <w:type w:val="continuous"/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E1229"/>
    <w:multiLevelType w:val="hybridMultilevel"/>
    <w:tmpl w:val="CD8879D4"/>
    <w:lvl w:ilvl="0" w:tplc="4E1AB330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E47C0A50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0CD8344C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9DFA1E26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D9FC5206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479C985E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F256508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B134BC26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8E049978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6922"/>
    <w:rsid w:val="00384344"/>
    <w:rsid w:val="0060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0BBF7373-749C-4C78-9586-4DEE70A5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es-X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2020-05-12T00:04:00Z</cp:lastPrinted>
  <dcterms:created xsi:type="dcterms:W3CDTF">2020-05-07T00:41:00Z</dcterms:created>
  <dcterms:modified xsi:type="dcterms:W3CDTF">2020-05-12T00:04:00Z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